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2BA7" w14:textId="2EC57539" w:rsidR="00DE294A" w:rsidRDefault="00DE294A" w:rsidP="00DE294A">
      <w:pPr>
        <w:pStyle w:val="1"/>
        <w:spacing w:line="240" w:lineRule="auto"/>
        <w:ind w:left="14" w:right="6"/>
        <w:jc w:val="center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0C21C8C" wp14:editId="1DA06EC0">
                <wp:simplePos x="0" y="0"/>
                <wp:positionH relativeFrom="page">
                  <wp:posOffset>7459980</wp:posOffset>
                </wp:positionH>
                <wp:positionV relativeFrom="page">
                  <wp:posOffset>9003665</wp:posOffset>
                </wp:positionV>
                <wp:extent cx="114300" cy="482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48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E41CE2" w14:textId="77777777" w:rsidR="00DE294A" w:rsidRDefault="00DE294A" w:rsidP="00DE294A">
                            <w:pPr>
                              <w:spacing w:line="162" w:lineRule="exact"/>
                              <w:ind w:left="20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color w:val="0B0000"/>
                                <w:spacing w:val="-10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vertOverflow="clip" horzOverflow="clip"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21C8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587.4pt;margin-top:708.95pt;width:9pt;height:3.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" filled="f" stroked="f">
                <v:textbox style="layout-flow:vertical;mso-layout-flow-alt:bottom-to-top" inset="0,0,0,0">
                  <w:txbxContent>
                    <w:p w14:paraId="54E41CE2" w14:textId="77777777" w:rsidR="00DE294A" w:rsidRDefault="00DE294A" w:rsidP="00DE294A">
                      <w:pPr>
                        <w:spacing w:line="162" w:lineRule="exact"/>
                        <w:ind w:left="20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color w:val="0B0000"/>
                          <w:spacing w:val="-10"/>
                          <w:sz w:val="1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Листок-вкладыш_-_информация_для_пациента"/>
      <w:bookmarkEnd w:id="0"/>
      <w:r>
        <w:t>Листок-вкладыш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пациента</w:t>
      </w:r>
    </w:p>
    <w:p w14:paraId="46DD5B17" w14:textId="7E0C1DFB" w:rsidR="00DE294A" w:rsidRDefault="00DE294A" w:rsidP="00DE294A">
      <w:pPr>
        <w:pStyle w:val="a4"/>
        <w:spacing w:before="134"/>
        <w:ind w:right="6"/>
        <w:jc w:val="center"/>
        <w:rPr>
          <w:sz w:val="28"/>
          <w:szCs w:val="28"/>
        </w:rPr>
      </w:pPr>
      <w:bookmarkStart w:id="1" w:name="_Hlk185007386"/>
      <w:r w:rsidRPr="00DE294A">
        <w:rPr>
          <w:sz w:val="28"/>
          <w:szCs w:val="28"/>
          <w:lang w:val="kk-KZ"/>
        </w:rPr>
        <w:t>Мелдовенс</w:t>
      </w:r>
      <w:bookmarkEnd w:id="1"/>
      <w:r w:rsidRPr="00DE294A">
        <w:rPr>
          <w:sz w:val="28"/>
          <w:szCs w:val="28"/>
          <w:lang w:val="kk-KZ"/>
        </w:rPr>
        <w:t>, 100 мг/мл, раствор для инъекций</w:t>
      </w:r>
      <w:r>
        <w:rPr>
          <w:sz w:val="28"/>
          <w:szCs w:val="28"/>
        </w:rPr>
        <w:t>.</w:t>
      </w:r>
    </w:p>
    <w:p w14:paraId="4E370812" w14:textId="77777777" w:rsidR="00DE294A" w:rsidRDefault="00DE294A" w:rsidP="00DE294A">
      <w:pPr>
        <w:pStyle w:val="a4"/>
        <w:spacing w:before="134"/>
        <w:ind w:right="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Действующее вещество: </w:t>
      </w:r>
      <w:proofErr w:type="spellStart"/>
      <w:r w:rsidRPr="00DE294A">
        <w:rPr>
          <w:sz w:val="28"/>
          <w:szCs w:val="28"/>
        </w:rPr>
        <w:t>мельдоний</w:t>
      </w:r>
      <w:proofErr w:type="spellEnd"/>
      <w:r w:rsidRPr="00DE294A">
        <w:rPr>
          <w:sz w:val="28"/>
          <w:szCs w:val="28"/>
        </w:rPr>
        <w:t xml:space="preserve"> (</w:t>
      </w:r>
      <w:proofErr w:type="spellStart"/>
      <w:r w:rsidRPr="00DE294A">
        <w:rPr>
          <w:sz w:val="28"/>
          <w:szCs w:val="28"/>
        </w:rPr>
        <w:t>триметилгидразиния</w:t>
      </w:r>
      <w:proofErr w:type="spellEnd"/>
      <w:r w:rsidRPr="00DE294A">
        <w:rPr>
          <w:sz w:val="28"/>
          <w:szCs w:val="28"/>
        </w:rPr>
        <w:t xml:space="preserve"> пропионат)</w:t>
      </w:r>
    </w:p>
    <w:p w14:paraId="41CBB1B8" w14:textId="77777777" w:rsidR="00DE294A" w:rsidRDefault="00DE294A" w:rsidP="00DE294A">
      <w:pPr>
        <w:pStyle w:val="a4"/>
        <w:spacing w:before="134"/>
        <w:ind w:right="6"/>
        <w:jc w:val="center"/>
        <w:rPr>
          <w:sz w:val="28"/>
          <w:szCs w:val="28"/>
        </w:rPr>
      </w:pPr>
    </w:p>
    <w:p w14:paraId="31640699" w14:textId="303D7C06" w:rsidR="00DE294A" w:rsidRDefault="00DE294A" w:rsidP="00DE294A">
      <w:pPr>
        <w:pStyle w:val="a4"/>
        <w:spacing w:before="134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Перед</w:t>
      </w:r>
      <w:r>
        <w:rPr>
          <w:sz w:val="28"/>
          <w:szCs w:val="28"/>
        </w:rPr>
        <w:tab/>
        <w:t>приемом</w:t>
      </w:r>
      <w:r>
        <w:rPr>
          <w:sz w:val="28"/>
          <w:szCs w:val="28"/>
        </w:rPr>
        <w:tab/>
        <w:t>препарата</w:t>
      </w:r>
      <w:r>
        <w:rPr>
          <w:sz w:val="28"/>
          <w:szCs w:val="28"/>
        </w:rPr>
        <w:tab/>
        <w:t>полностью</w:t>
      </w:r>
      <w:r>
        <w:rPr>
          <w:sz w:val="28"/>
          <w:szCs w:val="28"/>
        </w:rPr>
        <w:tab/>
        <w:t>прочитайте</w:t>
      </w:r>
      <w:r>
        <w:rPr>
          <w:sz w:val="28"/>
          <w:szCs w:val="28"/>
        </w:rPr>
        <w:tab/>
        <w:t>листок-вкладыш, поскольку в нем содержатся важные для Вас сведения.</w:t>
      </w:r>
    </w:p>
    <w:p w14:paraId="655DD87F" w14:textId="77777777" w:rsidR="00DE294A" w:rsidRDefault="00DE294A" w:rsidP="00DE294A">
      <w:pPr>
        <w:pStyle w:val="a4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Сохраните листок-вкладыш. Возможно, Вам потребуется прочитать его еще раз.</w:t>
      </w:r>
    </w:p>
    <w:p w14:paraId="5C4773D3" w14:textId="77777777" w:rsidR="00DE294A" w:rsidRDefault="00DE294A" w:rsidP="00DE294A">
      <w:pPr>
        <w:pStyle w:val="a4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Если у Вас возникли дополнительные вопросы, обратитесь к лечащему врачу, или работнику аптеки.</w:t>
      </w:r>
    </w:p>
    <w:p w14:paraId="3C3350E0" w14:textId="77777777" w:rsidR="00DE294A" w:rsidRDefault="00DE294A" w:rsidP="00DE294A">
      <w:pPr>
        <w:pStyle w:val="a4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Препарат назначен именно Вам. Не передавайте его другим людям. Он может навредить им, даже если симптомы их заболевания совпадают с Вашими.</w:t>
      </w:r>
    </w:p>
    <w:p w14:paraId="17B27872" w14:textId="77777777" w:rsidR="00DE294A" w:rsidRDefault="00DE294A" w:rsidP="00DE294A">
      <w:pPr>
        <w:pStyle w:val="a4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у Вас возникли какие-либо нежелательные реакции, обратитесь к лечащему врачу или работнику аптеки. Данная рекомендация распространяется на любые возможные нежелательные реакции, в том числе на не перечисленные в разделе 4 листка-вкладыша. </w:t>
      </w:r>
    </w:p>
    <w:p w14:paraId="34C36370" w14:textId="77777777" w:rsidR="00DE294A" w:rsidRDefault="00DE294A" w:rsidP="00DE294A">
      <w:pPr>
        <w:pStyle w:val="1"/>
        <w:spacing w:before="319" w:line="240" w:lineRule="auto"/>
        <w:ind w:left="2679"/>
        <w:rPr>
          <w:spacing w:val="-2"/>
        </w:rPr>
      </w:pPr>
      <w:r>
        <w:t>Содержание</w:t>
      </w:r>
      <w:r>
        <w:rPr>
          <w:spacing w:val="-10"/>
        </w:rPr>
        <w:t xml:space="preserve"> </w:t>
      </w:r>
      <w:r>
        <w:t>листка-</w:t>
      </w:r>
      <w:r>
        <w:rPr>
          <w:spacing w:val="-2"/>
        </w:rPr>
        <w:t>вкладыша</w:t>
      </w:r>
    </w:p>
    <w:p w14:paraId="46CA981A" w14:textId="5A032835" w:rsidR="00DE294A" w:rsidRDefault="00DE294A" w:rsidP="00DE294A">
      <w:pPr>
        <w:pStyle w:val="a6"/>
        <w:numPr>
          <w:ilvl w:val="0"/>
          <w:numId w:val="1"/>
        </w:numPr>
        <w:tabs>
          <w:tab w:val="left" w:pos="403"/>
        </w:tabs>
        <w:spacing w:before="2"/>
        <w:ind w:right="112" w:firstLine="0"/>
        <w:rPr>
          <w:sz w:val="28"/>
        </w:rPr>
      </w:pPr>
      <w:r>
        <w:rPr>
          <w:sz w:val="28"/>
        </w:rPr>
        <w:t>Что</w:t>
      </w:r>
      <w:r>
        <w:rPr>
          <w:spacing w:val="39"/>
          <w:sz w:val="28"/>
        </w:rPr>
        <w:t xml:space="preserve"> </w:t>
      </w:r>
      <w:r>
        <w:rPr>
          <w:sz w:val="28"/>
        </w:rPr>
        <w:t>из</w:t>
      </w:r>
      <w:r>
        <w:rPr>
          <w:spacing w:val="37"/>
          <w:sz w:val="28"/>
        </w:rPr>
        <w:t xml:space="preserve"> </w:t>
      </w:r>
      <w:r>
        <w:rPr>
          <w:sz w:val="28"/>
        </w:rPr>
        <w:t>себя</w:t>
      </w:r>
      <w:r>
        <w:rPr>
          <w:spacing w:val="38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38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38"/>
          <w:sz w:val="28"/>
        </w:rPr>
        <w:t xml:space="preserve"> </w:t>
      </w:r>
      <w:proofErr w:type="spellStart"/>
      <w:r w:rsidR="00921C32" w:rsidRPr="00921C32">
        <w:rPr>
          <w:sz w:val="28"/>
        </w:rPr>
        <w:t>Мелдовенс</w:t>
      </w:r>
      <w:proofErr w:type="spellEnd"/>
      <w:r>
        <w:rPr>
          <w:sz w:val="28"/>
        </w:rPr>
        <w:t>,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чего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его </w:t>
      </w:r>
      <w:r>
        <w:rPr>
          <w:spacing w:val="-2"/>
          <w:sz w:val="28"/>
        </w:rPr>
        <w:t>применяют</w:t>
      </w:r>
    </w:p>
    <w:p w14:paraId="653A042C" w14:textId="5BB03465" w:rsidR="00DE294A" w:rsidRDefault="00DE294A" w:rsidP="00DE294A">
      <w:pPr>
        <w:pStyle w:val="a6"/>
        <w:numPr>
          <w:ilvl w:val="0"/>
          <w:numId w:val="1"/>
        </w:numPr>
        <w:tabs>
          <w:tab w:val="left" w:pos="403"/>
        </w:tabs>
        <w:ind w:left="403" w:hanging="282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4"/>
          <w:sz w:val="28"/>
        </w:rPr>
        <w:t xml:space="preserve"> </w:t>
      </w: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препарата</w:t>
      </w:r>
      <w:r>
        <w:rPr>
          <w:spacing w:val="-4"/>
          <w:sz w:val="28"/>
        </w:rPr>
        <w:t xml:space="preserve"> </w:t>
      </w:r>
      <w:proofErr w:type="spellStart"/>
      <w:r w:rsidR="00921C32" w:rsidRPr="00921C32">
        <w:rPr>
          <w:sz w:val="28"/>
        </w:rPr>
        <w:t>Мелдовенс</w:t>
      </w:r>
      <w:proofErr w:type="spellEnd"/>
    </w:p>
    <w:p w14:paraId="7DBEE6F2" w14:textId="5902270C" w:rsidR="00DE294A" w:rsidRDefault="00DE294A" w:rsidP="00DE294A">
      <w:pPr>
        <w:pStyle w:val="a6"/>
        <w:numPr>
          <w:ilvl w:val="0"/>
          <w:numId w:val="1"/>
        </w:numPr>
        <w:tabs>
          <w:tab w:val="left" w:pos="403"/>
        </w:tabs>
        <w:ind w:left="403" w:hanging="282"/>
        <w:rPr>
          <w:sz w:val="28"/>
        </w:rPr>
      </w:pP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препарата </w:t>
      </w:r>
      <w:proofErr w:type="spellStart"/>
      <w:r w:rsidR="00921C32" w:rsidRPr="00921C32">
        <w:rPr>
          <w:sz w:val="28"/>
        </w:rPr>
        <w:t>Мелдовенс</w:t>
      </w:r>
      <w:proofErr w:type="spellEnd"/>
    </w:p>
    <w:p w14:paraId="1FAEBF63" w14:textId="77777777" w:rsidR="00DE294A" w:rsidRDefault="00DE294A" w:rsidP="00DE294A">
      <w:pPr>
        <w:pStyle w:val="a6"/>
        <w:numPr>
          <w:ilvl w:val="0"/>
          <w:numId w:val="1"/>
        </w:numPr>
        <w:tabs>
          <w:tab w:val="left" w:pos="402"/>
        </w:tabs>
        <w:ind w:left="402" w:hanging="282"/>
        <w:rPr>
          <w:sz w:val="28"/>
        </w:rPr>
      </w:pPr>
      <w:r>
        <w:rPr>
          <w:sz w:val="28"/>
        </w:rPr>
        <w:t>Возможные</w:t>
      </w:r>
      <w:r>
        <w:rPr>
          <w:spacing w:val="-11"/>
          <w:sz w:val="28"/>
        </w:rPr>
        <w:t xml:space="preserve"> </w:t>
      </w:r>
      <w:r>
        <w:rPr>
          <w:sz w:val="28"/>
        </w:rPr>
        <w:t>нежелательные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реакции</w:t>
      </w:r>
    </w:p>
    <w:p w14:paraId="0DF0FAFB" w14:textId="24A23066" w:rsidR="00DE294A" w:rsidRDefault="00DE294A" w:rsidP="00DE294A">
      <w:pPr>
        <w:pStyle w:val="a6"/>
        <w:numPr>
          <w:ilvl w:val="0"/>
          <w:numId w:val="1"/>
        </w:numPr>
        <w:tabs>
          <w:tab w:val="left" w:pos="402"/>
        </w:tabs>
        <w:ind w:left="402" w:hanging="282"/>
        <w:rPr>
          <w:sz w:val="28"/>
        </w:rPr>
      </w:pPr>
      <w:r>
        <w:rPr>
          <w:sz w:val="28"/>
        </w:rPr>
        <w:t>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препарата</w:t>
      </w:r>
      <w:r>
        <w:rPr>
          <w:spacing w:val="-7"/>
          <w:sz w:val="28"/>
        </w:rPr>
        <w:t xml:space="preserve"> </w:t>
      </w:r>
      <w:proofErr w:type="spellStart"/>
      <w:r w:rsidR="00921C32" w:rsidRPr="00921C32">
        <w:rPr>
          <w:sz w:val="28"/>
        </w:rPr>
        <w:t>Мелдовенс</w:t>
      </w:r>
      <w:proofErr w:type="spellEnd"/>
    </w:p>
    <w:p w14:paraId="70D923A1" w14:textId="77777777" w:rsidR="00DE294A" w:rsidRDefault="00DE294A" w:rsidP="00DE294A">
      <w:pPr>
        <w:pStyle w:val="a6"/>
        <w:numPr>
          <w:ilvl w:val="0"/>
          <w:numId w:val="1"/>
        </w:numPr>
        <w:tabs>
          <w:tab w:val="left" w:pos="402"/>
        </w:tabs>
        <w:spacing w:before="2"/>
        <w:ind w:left="402" w:hanging="282"/>
        <w:rPr>
          <w:sz w:val="28"/>
        </w:rPr>
      </w:pPr>
      <w:r>
        <w:rPr>
          <w:sz w:val="28"/>
        </w:rPr>
        <w:t>Содержимое</w:t>
      </w:r>
      <w:r>
        <w:rPr>
          <w:spacing w:val="-7"/>
          <w:sz w:val="28"/>
        </w:rPr>
        <w:t xml:space="preserve"> </w:t>
      </w:r>
      <w:r>
        <w:rPr>
          <w:sz w:val="28"/>
        </w:rPr>
        <w:t>упаковки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прочие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сведения</w:t>
      </w:r>
    </w:p>
    <w:p w14:paraId="5538DD62" w14:textId="77777777" w:rsidR="00DE294A" w:rsidRDefault="00DE294A" w:rsidP="00DE294A">
      <w:pPr>
        <w:tabs>
          <w:tab w:val="left" w:pos="402"/>
        </w:tabs>
        <w:spacing w:before="2"/>
        <w:ind w:left="120"/>
        <w:rPr>
          <w:sz w:val="28"/>
        </w:rPr>
      </w:pPr>
    </w:p>
    <w:p w14:paraId="0191E939" w14:textId="1D9C581A" w:rsidR="00DE294A" w:rsidRDefault="00DE294A" w:rsidP="00DE294A">
      <w:pPr>
        <w:pStyle w:val="1"/>
        <w:numPr>
          <w:ilvl w:val="0"/>
          <w:numId w:val="2"/>
        </w:numPr>
        <w:tabs>
          <w:tab w:val="left" w:pos="142"/>
        </w:tabs>
        <w:spacing w:line="240" w:lineRule="auto"/>
        <w:ind w:left="426" w:right="110" w:hanging="284"/>
      </w:pPr>
      <w:r>
        <w:t>Что из</w:t>
      </w:r>
      <w:r>
        <w:rPr>
          <w:spacing w:val="-1"/>
        </w:rPr>
        <w:t xml:space="preserve"> </w:t>
      </w:r>
      <w:r>
        <w:t xml:space="preserve">себя представляет препарат </w:t>
      </w:r>
      <w:proofErr w:type="spellStart"/>
      <w:r w:rsidR="00921C32" w:rsidRPr="00921C32">
        <w:rPr>
          <w:spacing w:val="-5"/>
        </w:rPr>
        <w:t>Мелдовенс</w:t>
      </w:r>
      <w:proofErr w:type="spellEnd"/>
      <w:r>
        <w:t xml:space="preserve"> и для чего его </w:t>
      </w:r>
      <w:r>
        <w:rPr>
          <w:spacing w:val="-2"/>
        </w:rPr>
        <w:t>применяют</w:t>
      </w:r>
    </w:p>
    <w:p w14:paraId="6F168BFA" w14:textId="77777777" w:rsidR="00DE294A" w:rsidRPr="00DE294A" w:rsidRDefault="00DE294A" w:rsidP="00DE294A">
      <w:pPr>
        <w:pStyle w:val="1"/>
        <w:tabs>
          <w:tab w:val="left" w:pos="142"/>
        </w:tabs>
        <w:ind w:left="142" w:right="110"/>
        <w:jc w:val="both"/>
        <w:rPr>
          <w:b w:val="0"/>
          <w:bCs w:val="0"/>
        </w:rPr>
      </w:pPr>
      <w:proofErr w:type="spellStart"/>
      <w:r w:rsidRPr="00DE294A">
        <w:rPr>
          <w:b w:val="0"/>
          <w:bCs w:val="0"/>
        </w:rPr>
        <w:t>Мельдоний</w:t>
      </w:r>
      <w:proofErr w:type="spellEnd"/>
      <w:r w:rsidRPr="00DE294A">
        <w:rPr>
          <w:b w:val="0"/>
          <w:bCs w:val="0"/>
        </w:rPr>
        <w:t xml:space="preserve"> – структурный аналог γ-</w:t>
      </w:r>
      <w:proofErr w:type="spellStart"/>
      <w:r w:rsidRPr="00DE294A">
        <w:rPr>
          <w:b w:val="0"/>
          <w:bCs w:val="0"/>
        </w:rPr>
        <w:t>бутиробетаина</w:t>
      </w:r>
      <w:proofErr w:type="spellEnd"/>
      <w:r w:rsidRPr="00DE294A">
        <w:rPr>
          <w:b w:val="0"/>
          <w:bCs w:val="0"/>
        </w:rPr>
        <w:t xml:space="preserve"> – вещества, которое находится в каждой клетке организма человека.</w:t>
      </w:r>
    </w:p>
    <w:p w14:paraId="37BC4E4E" w14:textId="12FF84C6" w:rsidR="00DE294A" w:rsidRDefault="00DE294A" w:rsidP="00DE294A">
      <w:pPr>
        <w:pStyle w:val="1"/>
        <w:tabs>
          <w:tab w:val="left" w:pos="142"/>
        </w:tabs>
        <w:ind w:left="142" w:right="110"/>
        <w:jc w:val="both"/>
        <w:rPr>
          <w:b w:val="0"/>
          <w:bCs w:val="0"/>
        </w:rPr>
      </w:pPr>
      <w:r w:rsidRPr="00DE294A">
        <w:rPr>
          <w:b w:val="0"/>
          <w:bCs w:val="0"/>
        </w:rPr>
        <w:t xml:space="preserve">В условиях повышенной нагрузки </w:t>
      </w:r>
      <w:proofErr w:type="spellStart"/>
      <w:r w:rsidRPr="00DE294A">
        <w:rPr>
          <w:b w:val="0"/>
          <w:bCs w:val="0"/>
        </w:rPr>
        <w:t>мельдоний</w:t>
      </w:r>
      <w:proofErr w:type="spellEnd"/>
      <w:r w:rsidRPr="00DE294A">
        <w:rPr>
          <w:b w:val="0"/>
          <w:bCs w:val="0"/>
        </w:rPr>
        <w:t xml:space="preserve"> восстанавливает равновесие между доставкой и потребностью клеток в кислороде, устраняет накопление токсических продуктов обмена в клетках, защищая их от повреждения; оказывает также тонизирующее влияние. В результате его применения организм приобретает способность выдерживать нагрузку и быстро восстанавливать энергетические резервы. Благодаря этим свойствам </w:t>
      </w:r>
      <w:proofErr w:type="spellStart"/>
      <w:r w:rsidRPr="00DE294A">
        <w:rPr>
          <w:b w:val="0"/>
          <w:bCs w:val="0"/>
        </w:rPr>
        <w:t>мельдоний</w:t>
      </w:r>
      <w:proofErr w:type="spellEnd"/>
      <w:r w:rsidRPr="00DE294A">
        <w:rPr>
          <w:b w:val="0"/>
          <w:bCs w:val="0"/>
        </w:rPr>
        <w:t xml:space="preserve"> используют для лечения различных нарушений деятельности сердечно-сосудистой системы, кровоснабжения головного мозга, а также для повышения физической и умственной работоспособности. В результате снижения концентрации карнитина усиленно синтезируется γ-</w:t>
      </w:r>
      <w:proofErr w:type="spellStart"/>
      <w:r w:rsidRPr="00DE294A">
        <w:rPr>
          <w:b w:val="0"/>
          <w:bCs w:val="0"/>
        </w:rPr>
        <w:t>бутиробетаин</w:t>
      </w:r>
      <w:proofErr w:type="spellEnd"/>
      <w:r w:rsidRPr="00DE294A">
        <w:rPr>
          <w:b w:val="0"/>
          <w:bCs w:val="0"/>
        </w:rPr>
        <w:t xml:space="preserve">, обладающий </w:t>
      </w:r>
      <w:proofErr w:type="spellStart"/>
      <w:r w:rsidRPr="00DE294A">
        <w:rPr>
          <w:b w:val="0"/>
          <w:bCs w:val="0"/>
        </w:rPr>
        <w:t>вазодилатирующими</w:t>
      </w:r>
      <w:proofErr w:type="spellEnd"/>
      <w:r w:rsidRPr="00DE294A">
        <w:rPr>
          <w:b w:val="0"/>
          <w:bCs w:val="0"/>
        </w:rPr>
        <w:t xml:space="preserve"> свойствами. В случае острого ишемического повреждения миокарда </w:t>
      </w:r>
      <w:proofErr w:type="spellStart"/>
      <w:r w:rsidRPr="00DE294A">
        <w:rPr>
          <w:b w:val="0"/>
          <w:bCs w:val="0"/>
        </w:rPr>
        <w:t>мельдоний</w:t>
      </w:r>
      <w:proofErr w:type="spellEnd"/>
      <w:r w:rsidRPr="00DE294A">
        <w:rPr>
          <w:b w:val="0"/>
          <w:bCs w:val="0"/>
        </w:rPr>
        <w:t xml:space="preserve"> замедляет образование некротической зоны, укорачивает реабилитационный период. </w:t>
      </w:r>
      <w:r w:rsidRPr="00DE294A">
        <w:rPr>
          <w:b w:val="0"/>
          <w:bCs w:val="0"/>
        </w:rPr>
        <w:lastRenderedPageBreak/>
        <w:t xml:space="preserve">При сердечной недостаточности повышает сократимость миокарда, увеличивает толерантность к физической нагрузке, снижает частоту приступов стенокардии. При острых и хронических ишемических нарушениях мозгового кровообращения </w:t>
      </w:r>
      <w:proofErr w:type="spellStart"/>
      <w:r w:rsidRPr="00DE294A">
        <w:rPr>
          <w:b w:val="0"/>
          <w:bCs w:val="0"/>
        </w:rPr>
        <w:t>мельдоний</w:t>
      </w:r>
      <w:proofErr w:type="spellEnd"/>
      <w:r w:rsidRPr="00DE294A">
        <w:rPr>
          <w:b w:val="0"/>
          <w:bCs w:val="0"/>
        </w:rPr>
        <w:t xml:space="preserve"> улучшает циркуляцию</w:t>
      </w:r>
      <w:r>
        <w:rPr>
          <w:b w:val="0"/>
          <w:bCs w:val="0"/>
        </w:rPr>
        <w:t xml:space="preserve"> </w:t>
      </w:r>
      <w:r w:rsidRPr="00DE294A">
        <w:rPr>
          <w:b w:val="0"/>
          <w:bCs w:val="0"/>
        </w:rPr>
        <w:t xml:space="preserve">крови в очаге ишемии, способствует перераспределению крови в пользу </w:t>
      </w:r>
      <w:proofErr w:type="spellStart"/>
      <w:r w:rsidRPr="00DE294A">
        <w:rPr>
          <w:b w:val="0"/>
          <w:bCs w:val="0"/>
        </w:rPr>
        <w:t>ишемизированного</w:t>
      </w:r>
      <w:proofErr w:type="spellEnd"/>
      <w:r w:rsidRPr="00DE294A">
        <w:rPr>
          <w:b w:val="0"/>
          <w:bCs w:val="0"/>
        </w:rPr>
        <w:t xml:space="preserve"> участка. Препарат устраняет функциональные нарушения нервной системы у больных хроническим алкоголизмом при синдроме абстиненции</w:t>
      </w:r>
    </w:p>
    <w:p w14:paraId="4E14E5B8" w14:textId="77777777" w:rsidR="00DE294A" w:rsidRDefault="00DE294A" w:rsidP="00DE294A">
      <w:pPr>
        <w:pStyle w:val="1"/>
        <w:tabs>
          <w:tab w:val="left" w:pos="142"/>
        </w:tabs>
        <w:spacing w:line="240" w:lineRule="auto"/>
        <w:ind w:left="142" w:right="110"/>
        <w:jc w:val="both"/>
        <w:rPr>
          <w:b w:val="0"/>
          <w:bCs w:val="0"/>
        </w:rPr>
      </w:pPr>
    </w:p>
    <w:p w14:paraId="12BDB417" w14:textId="77777777" w:rsidR="00DE294A" w:rsidRDefault="00DE294A" w:rsidP="00DE294A">
      <w:pPr>
        <w:pStyle w:val="1"/>
        <w:spacing w:line="240" w:lineRule="auto"/>
        <w:ind w:left="142"/>
        <w:jc w:val="both"/>
        <w:rPr>
          <w:spacing w:val="-2"/>
        </w:rPr>
      </w:pPr>
      <w:r>
        <w:t>Показания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применению</w:t>
      </w:r>
    </w:p>
    <w:p w14:paraId="5BB829B5" w14:textId="49149EC0" w:rsidR="00DE294A" w:rsidRPr="00DE294A" w:rsidRDefault="00DE294A" w:rsidP="00DE294A">
      <w:pPr>
        <w:pStyle w:val="1"/>
        <w:ind w:left="142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DE294A">
        <w:rPr>
          <w:b w:val="0"/>
          <w:bCs w:val="0"/>
        </w:rPr>
        <w:t xml:space="preserve">в составе комплексной терапии: ишемическая болезнь сердца (стенокардия, инфаркт миокарда), хроническая сердечная недостаточность и кардиомиопатия на фоне </w:t>
      </w:r>
      <w:proofErr w:type="spellStart"/>
      <w:r w:rsidRPr="00DE294A">
        <w:rPr>
          <w:b w:val="0"/>
          <w:bCs w:val="0"/>
        </w:rPr>
        <w:t>дисгормональных</w:t>
      </w:r>
      <w:proofErr w:type="spellEnd"/>
      <w:r w:rsidRPr="00DE294A">
        <w:rPr>
          <w:b w:val="0"/>
          <w:bCs w:val="0"/>
        </w:rPr>
        <w:t xml:space="preserve"> нарушений; острые и хронические нарушения кровоснабжения головного мозга (инсульт, цереброваскулярная недостаточность);</w:t>
      </w:r>
    </w:p>
    <w:p w14:paraId="4324F260" w14:textId="320FC6AF" w:rsidR="00DE294A" w:rsidRPr="00DE294A" w:rsidRDefault="00DE294A" w:rsidP="00DE294A">
      <w:pPr>
        <w:pStyle w:val="1"/>
        <w:ind w:left="142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proofErr w:type="spellStart"/>
      <w:r w:rsidRPr="00DE294A">
        <w:rPr>
          <w:b w:val="0"/>
          <w:bCs w:val="0"/>
        </w:rPr>
        <w:t>гемофтальм</w:t>
      </w:r>
      <w:proofErr w:type="spellEnd"/>
      <w:r w:rsidRPr="00DE294A">
        <w:rPr>
          <w:b w:val="0"/>
          <w:bCs w:val="0"/>
        </w:rPr>
        <w:t xml:space="preserve"> и кровоизлияния в сетчатку различной этиологии, тромбоз центральной вены сетчатки и ее ветвей, ретинопатия различной этиологии (в т.ч. диабетическая и гипертоническая);</w:t>
      </w:r>
    </w:p>
    <w:p w14:paraId="7B731CBF" w14:textId="47329A1A" w:rsidR="00DE294A" w:rsidRPr="00DE294A" w:rsidRDefault="00DE294A" w:rsidP="00DE294A">
      <w:pPr>
        <w:pStyle w:val="1"/>
        <w:ind w:left="142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DE294A">
        <w:rPr>
          <w:b w:val="0"/>
          <w:bCs w:val="0"/>
        </w:rPr>
        <w:t>сниженная работоспособность, умственные и физические перегрузки (в т.ч. у спортсменов). Препарат может давать положительный результат при проведении допинг контроля (см. раздел «Особые указания»);</w:t>
      </w:r>
    </w:p>
    <w:p w14:paraId="5B1BC18B" w14:textId="75E3A09B" w:rsidR="00DE294A" w:rsidRPr="00DE294A" w:rsidRDefault="00DE294A" w:rsidP="00DE294A">
      <w:pPr>
        <w:pStyle w:val="1"/>
        <w:tabs>
          <w:tab w:val="left" w:pos="121"/>
          <w:tab w:val="left" w:pos="522"/>
        </w:tabs>
        <w:spacing w:line="240" w:lineRule="auto"/>
        <w:ind w:right="107"/>
        <w:jc w:val="both"/>
      </w:pPr>
      <w:r>
        <w:rPr>
          <w:b w:val="0"/>
          <w:bCs w:val="0"/>
        </w:rPr>
        <w:t xml:space="preserve">- </w:t>
      </w:r>
      <w:r w:rsidRPr="00DE294A">
        <w:rPr>
          <w:b w:val="0"/>
          <w:bCs w:val="0"/>
        </w:rPr>
        <w:t>синдром абстиненции при хроническом алкоголизме (в комбинации со специфической терапией алкоголизма).</w:t>
      </w:r>
    </w:p>
    <w:p w14:paraId="552E405E" w14:textId="4BAAE900" w:rsidR="00DE294A" w:rsidRDefault="00DE294A" w:rsidP="00DE294A">
      <w:pPr>
        <w:pStyle w:val="1"/>
        <w:tabs>
          <w:tab w:val="left" w:pos="121"/>
          <w:tab w:val="left" w:pos="522"/>
        </w:tabs>
        <w:spacing w:line="240" w:lineRule="auto"/>
        <w:ind w:right="107"/>
        <w:jc w:val="both"/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1CDF2B1" wp14:editId="69C893EF">
                <wp:simplePos x="0" y="0"/>
                <wp:positionH relativeFrom="page">
                  <wp:posOffset>7459980</wp:posOffset>
                </wp:positionH>
                <wp:positionV relativeFrom="page">
                  <wp:posOffset>9003665</wp:posOffset>
                </wp:positionV>
                <wp:extent cx="114300" cy="482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48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89982E" w14:textId="77777777" w:rsidR="00DE294A" w:rsidRDefault="00DE294A" w:rsidP="00DE294A">
                            <w:pPr>
                              <w:spacing w:line="162" w:lineRule="exact"/>
                              <w:ind w:left="20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color w:val="0B0000"/>
                                <w:spacing w:val="-10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vertOverflow="clip" horzOverflow="clip"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F2B1" id="Надпись 4" o:spid="_x0000_s1027" type="#_x0000_t202" style="position:absolute;left:0;text-align:left;margin-left:587.4pt;margin-top:708.95pt;width:9pt;height:3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" filled="f" stroked="f">
                <v:textbox style="layout-flow:vertical;mso-layout-flow-alt:bottom-to-top" inset="0,0,0,0">
                  <w:txbxContent>
                    <w:p w14:paraId="5E89982E" w14:textId="77777777" w:rsidR="00DE294A" w:rsidRDefault="00DE294A" w:rsidP="00DE294A">
                      <w:pPr>
                        <w:spacing w:line="162" w:lineRule="exact"/>
                        <w:ind w:left="20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color w:val="0B0000"/>
                          <w:spacing w:val="-10"/>
                          <w:sz w:val="1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О</w:t>
      </w:r>
      <w:r>
        <w:rPr>
          <w:spacing w:val="80"/>
        </w:rPr>
        <w:t xml:space="preserve"> </w:t>
      </w:r>
      <w:r>
        <w:t>чем</w:t>
      </w:r>
      <w:r>
        <w:rPr>
          <w:spacing w:val="80"/>
        </w:rPr>
        <w:t xml:space="preserve"> </w:t>
      </w:r>
      <w:r>
        <w:t>следует</w:t>
      </w:r>
      <w:r>
        <w:rPr>
          <w:spacing w:val="80"/>
        </w:rPr>
        <w:t xml:space="preserve"> </w:t>
      </w:r>
      <w:r>
        <w:t>знать</w:t>
      </w:r>
      <w:r>
        <w:rPr>
          <w:spacing w:val="80"/>
        </w:rPr>
        <w:t xml:space="preserve"> </w:t>
      </w:r>
      <w:r>
        <w:t>перед</w:t>
      </w:r>
      <w:r>
        <w:rPr>
          <w:spacing w:val="80"/>
        </w:rPr>
        <w:t xml:space="preserve"> </w:t>
      </w:r>
      <w:r>
        <w:t>применением</w:t>
      </w:r>
      <w:r>
        <w:rPr>
          <w:spacing w:val="80"/>
        </w:rPr>
        <w:t xml:space="preserve"> </w:t>
      </w:r>
      <w:r>
        <w:t>препарата</w:t>
      </w:r>
      <w:r>
        <w:rPr>
          <w:spacing w:val="80"/>
        </w:rPr>
        <w:t xml:space="preserve"> </w:t>
      </w:r>
      <w:proofErr w:type="spellStart"/>
      <w:r w:rsidR="00921C32" w:rsidRPr="00921C32">
        <w:rPr>
          <w:spacing w:val="-5"/>
        </w:rPr>
        <w:t>Мелдовенс</w:t>
      </w:r>
      <w:proofErr w:type="spellEnd"/>
      <w:r>
        <w:rPr>
          <w:lang w:val="kk-KZ"/>
        </w:rPr>
        <w:t xml:space="preserve">     </w:t>
      </w:r>
    </w:p>
    <w:p w14:paraId="5C2576C9" w14:textId="46E724ED" w:rsidR="00DE294A" w:rsidRDefault="00DE294A" w:rsidP="00DE294A">
      <w:pPr>
        <w:pStyle w:val="1"/>
        <w:tabs>
          <w:tab w:val="left" w:pos="121"/>
          <w:tab w:val="left" w:pos="522"/>
        </w:tabs>
        <w:spacing w:line="240" w:lineRule="auto"/>
        <w:ind w:right="107"/>
        <w:jc w:val="both"/>
      </w:pPr>
      <w:r>
        <w:t>Не</w:t>
      </w:r>
      <w:r>
        <w:rPr>
          <w:spacing w:val="-7"/>
        </w:rPr>
        <w:t xml:space="preserve"> </w:t>
      </w:r>
      <w:r>
        <w:t>применяйте</w:t>
      </w:r>
      <w:r>
        <w:rPr>
          <w:spacing w:val="-5"/>
        </w:rPr>
        <w:t xml:space="preserve"> </w:t>
      </w:r>
      <w:r>
        <w:t>препарат</w:t>
      </w:r>
      <w:r>
        <w:rPr>
          <w:spacing w:val="-4"/>
        </w:rPr>
        <w:t xml:space="preserve"> </w:t>
      </w:r>
      <w:proofErr w:type="spellStart"/>
      <w:r w:rsidR="00921C32" w:rsidRPr="00921C32">
        <w:rPr>
          <w:spacing w:val="-5"/>
        </w:rPr>
        <w:t>Мелдовенс</w:t>
      </w:r>
      <w:proofErr w:type="spellEnd"/>
      <w:r>
        <w:rPr>
          <w:spacing w:val="-2"/>
        </w:rPr>
        <w:t>:</w:t>
      </w:r>
    </w:p>
    <w:p w14:paraId="4579106D" w14:textId="6CD6663A" w:rsidR="00DE294A" w:rsidRPr="00DE294A" w:rsidRDefault="00DE294A" w:rsidP="00DE294A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DE294A">
        <w:rPr>
          <w:b w:val="0"/>
          <w:bCs w:val="0"/>
        </w:rPr>
        <w:t xml:space="preserve">гиперчувствительность к </w:t>
      </w:r>
      <w:proofErr w:type="spellStart"/>
      <w:r w:rsidRPr="00DE294A">
        <w:rPr>
          <w:b w:val="0"/>
          <w:bCs w:val="0"/>
        </w:rPr>
        <w:t>мельдонию</w:t>
      </w:r>
      <w:proofErr w:type="spellEnd"/>
      <w:r w:rsidRPr="00DE294A">
        <w:rPr>
          <w:b w:val="0"/>
          <w:bCs w:val="0"/>
        </w:rPr>
        <w:t xml:space="preserve"> или к любому из вспомогательных веществ;</w:t>
      </w:r>
    </w:p>
    <w:p w14:paraId="50780176" w14:textId="0E2C6DB0" w:rsidR="00DE294A" w:rsidRPr="00DE294A" w:rsidRDefault="00DE294A" w:rsidP="00DE294A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DE294A">
        <w:rPr>
          <w:b w:val="0"/>
          <w:bCs w:val="0"/>
        </w:rPr>
        <w:t>повышение</w:t>
      </w:r>
      <w:r w:rsidRPr="00DE294A">
        <w:rPr>
          <w:b w:val="0"/>
          <w:bCs w:val="0"/>
        </w:rPr>
        <w:tab/>
        <w:t>внутричерепного</w:t>
      </w:r>
      <w:r w:rsidRPr="00DE294A">
        <w:rPr>
          <w:b w:val="0"/>
          <w:bCs w:val="0"/>
        </w:rPr>
        <w:tab/>
        <w:t>давления</w:t>
      </w:r>
      <w:r w:rsidRPr="00DE294A">
        <w:rPr>
          <w:b w:val="0"/>
          <w:bCs w:val="0"/>
        </w:rPr>
        <w:tab/>
        <w:t>(при</w:t>
      </w:r>
      <w:r w:rsidRPr="00DE294A">
        <w:rPr>
          <w:b w:val="0"/>
          <w:bCs w:val="0"/>
        </w:rPr>
        <w:tab/>
        <w:t>нарушении</w:t>
      </w:r>
      <w:r w:rsidRPr="00DE294A">
        <w:rPr>
          <w:b w:val="0"/>
          <w:bCs w:val="0"/>
        </w:rPr>
        <w:tab/>
        <w:t>венозного</w:t>
      </w:r>
      <w:r>
        <w:rPr>
          <w:b w:val="0"/>
          <w:bCs w:val="0"/>
        </w:rPr>
        <w:t xml:space="preserve"> </w:t>
      </w:r>
      <w:r w:rsidRPr="00DE294A">
        <w:rPr>
          <w:b w:val="0"/>
          <w:bCs w:val="0"/>
        </w:rPr>
        <w:t>оттока, внутричерепных опухолях);</w:t>
      </w:r>
    </w:p>
    <w:p w14:paraId="26DCD9DF" w14:textId="59C3A811" w:rsidR="00DE294A" w:rsidRPr="00DE294A" w:rsidRDefault="00DE294A" w:rsidP="00DE294A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DE294A">
        <w:rPr>
          <w:b w:val="0"/>
          <w:bCs w:val="0"/>
        </w:rPr>
        <w:t>беременность и период грудного вскармливания;</w:t>
      </w:r>
    </w:p>
    <w:p w14:paraId="7F19D6FB" w14:textId="77777777" w:rsidR="00DE294A" w:rsidRDefault="00DE294A" w:rsidP="00DE294A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DE294A">
        <w:rPr>
          <w:b w:val="0"/>
          <w:bCs w:val="0"/>
        </w:rPr>
        <w:t>возраст до 18 лет (эффективность и безопасность не установлены).</w:t>
      </w:r>
    </w:p>
    <w:p w14:paraId="72B7FFDC" w14:textId="13AA15FA" w:rsidR="00DE294A" w:rsidRDefault="00DE294A" w:rsidP="00DE294A">
      <w:pPr>
        <w:pStyle w:val="1"/>
        <w:jc w:val="both"/>
        <w:rPr>
          <w:spacing w:val="-2"/>
        </w:rPr>
      </w:pPr>
      <w:r>
        <w:t>Особые</w:t>
      </w:r>
      <w:r>
        <w:rPr>
          <w:spacing w:val="-4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rPr>
          <w:spacing w:val="-2"/>
        </w:rPr>
        <w:t>предосторожности</w:t>
      </w:r>
    </w:p>
    <w:p w14:paraId="17DFA22C" w14:textId="42D5EF38" w:rsidR="00DE294A" w:rsidRDefault="00DE294A" w:rsidP="00DE294A">
      <w:pPr>
        <w:pStyle w:val="1"/>
        <w:jc w:val="both"/>
        <w:rPr>
          <w:b w:val="0"/>
          <w:bCs w:val="0"/>
        </w:rPr>
      </w:pPr>
      <w:r w:rsidRPr="00DE294A">
        <w:rPr>
          <w:b w:val="0"/>
          <w:bCs w:val="0"/>
        </w:rPr>
        <w:t>При заболеваниях печени и/или почек.</w:t>
      </w:r>
    </w:p>
    <w:p w14:paraId="795D2036" w14:textId="77777777" w:rsidR="00DE294A" w:rsidRDefault="00DE294A" w:rsidP="00DE294A">
      <w:pPr>
        <w:pStyle w:val="1"/>
        <w:spacing w:line="240" w:lineRule="auto"/>
        <w:jc w:val="both"/>
      </w:pPr>
      <w:r>
        <w:t>Дети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подростки</w:t>
      </w:r>
    </w:p>
    <w:p w14:paraId="04A9BA99" w14:textId="77777777" w:rsidR="00DE294A" w:rsidRDefault="00DE294A" w:rsidP="00DE294A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>Препарат не назначают детям до 18 лет в связи с недостаточной изученностью действия препарата.</w:t>
      </w:r>
    </w:p>
    <w:p w14:paraId="7E68202C" w14:textId="3BE1B1CA" w:rsidR="00DE294A" w:rsidRDefault="00DE294A" w:rsidP="00DE294A">
      <w:pPr>
        <w:pStyle w:val="1"/>
        <w:spacing w:line="240" w:lineRule="auto"/>
        <w:jc w:val="both"/>
      </w:pPr>
      <w:r>
        <w:t>Другие</w:t>
      </w:r>
      <w:r>
        <w:rPr>
          <w:spacing w:val="-7"/>
        </w:rPr>
        <w:t xml:space="preserve"> </w:t>
      </w:r>
      <w:r>
        <w:t>препараты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препарат</w:t>
      </w:r>
      <w:r>
        <w:rPr>
          <w:spacing w:val="-3"/>
        </w:rPr>
        <w:t xml:space="preserve"> </w:t>
      </w:r>
      <w:proofErr w:type="spellStart"/>
      <w:r w:rsidR="00921C32" w:rsidRPr="00921C32">
        <w:rPr>
          <w:spacing w:val="-5"/>
        </w:rPr>
        <w:t>Мелдовенс</w:t>
      </w:r>
      <w:proofErr w:type="spellEnd"/>
    </w:p>
    <w:p w14:paraId="0AAD0863" w14:textId="77777777" w:rsidR="00DE294A" w:rsidRPr="00DE294A" w:rsidRDefault="00DE294A" w:rsidP="00DE294A">
      <w:pPr>
        <w:pStyle w:val="1"/>
        <w:jc w:val="both"/>
        <w:rPr>
          <w:b w:val="0"/>
          <w:bCs w:val="0"/>
        </w:rPr>
      </w:pPr>
      <w:r w:rsidRPr="00DE294A">
        <w:rPr>
          <w:b w:val="0"/>
          <w:bCs w:val="0"/>
        </w:rPr>
        <w:t>Усиливает действие сердечных гликозидов.</w:t>
      </w:r>
    </w:p>
    <w:p w14:paraId="23D5E69D" w14:textId="21F5567A" w:rsidR="00DE294A" w:rsidRPr="00DE294A" w:rsidRDefault="00DE294A" w:rsidP="00DE294A">
      <w:pPr>
        <w:pStyle w:val="1"/>
        <w:jc w:val="both"/>
        <w:rPr>
          <w:b w:val="0"/>
          <w:bCs w:val="0"/>
        </w:rPr>
      </w:pPr>
      <w:r w:rsidRPr="00DE294A">
        <w:rPr>
          <w:b w:val="0"/>
          <w:bCs w:val="0"/>
        </w:rPr>
        <w:t xml:space="preserve">Можно сочетать с антиангинальными лекарственными средствами, антикоагулянтами, </w:t>
      </w:r>
      <w:proofErr w:type="spellStart"/>
      <w:r w:rsidRPr="00DE294A">
        <w:rPr>
          <w:b w:val="0"/>
          <w:bCs w:val="0"/>
        </w:rPr>
        <w:t>антиагрегантами</w:t>
      </w:r>
      <w:proofErr w:type="spellEnd"/>
      <w:r w:rsidRPr="00DE294A">
        <w:rPr>
          <w:b w:val="0"/>
          <w:bCs w:val="0"/>
        </w:rPr>
        <w:t xml:space="preserve">, антиаритмическими лекарственными средствами, диуретиками, </w:t>
      </w:r>
      <w:proofErr w:type="spellStart"/>
      <w:r w:rsidRPr="00DE294A">
        <w:rPr>
          <w:b w:val="0"/>
          <w:bCs w:val="0"/>
        </w:rPr>
        <w:t>бронхолитиками</w:t>
      </w:r>
      <w:proofErr w:type="spellEnd"/>
      <w:r w:rsidRPr="00DE294A">
        <w:rPr>
          <w:b w:val="0"/>
          <w:bCs w:val="0"/>
        </w:rPr>
        <w:t>.</w:t>
      </w:r>
    </w:p>
    <w:p w14:paraId="7BA738B5" w14:textId="5960F22B" w:rsidR="00DE294A" w:rsidRDefault="00DE294A" w:rsidP="00DE294A">
      <w:pPr>
        <w:pStyle w:val="1"/>
        <w:jc w:val="both"/>
        <w:rPr>
          <w:b w:val="0"/>
          <w:bCs w:val="0"/>
        </w:rPr>
      </w:pPr>
      <w:r w:rsidRPr="00DE294A">
        <w:rPr>
          <w:b w:val="0"/>
          <w:bCs w:val="0"/>
        </w:rPr>
        <w:t xml:space="preserve">Ввиду возможного развития умеренной тахикардии и артериальной гипотензии следует соблюдать осторожность при комбинации с нитроглицерином, </w:t>
      </w:r>
      <w:proofErr w:type="spellStart"/>
      <w:r w:rsidRPr="00DE294A">
        <w:rPr>
          <w:b w:val="0"/>
          <w:bCs w:val="0"/>
        </w:rPr>
        <w:t>нифедипином</w:t>
      </w:r>
      <w:proofErr w:type="spellEnd"/>
      <w:r w:rsidRPr="00DE294A">
        <w:rPr>
          <w:b w:val="0"/>
          <w:bCs w:val="0"/>
        </w:rPr>
        <w:t xml:space="preserve">, α-адреноблокаторами, другими гипотензивными лекарственными средствами и периферическими </w:t>
      </w:r>
      <w:r w:rsidRPr="00DE294A">
        <w:rPr>
          <w:b w:val="0"/>
          <w:bCs w:val="0"/>
        </w:rPr>
        <w:lastRenderedPageBreak/>
        <w:t xml:space="preserve">вазодилататорами, т.к. </w:t>
      </w:r>
      <w:proofErr w:type="spellStart"/>
      <w:r w:rsidRPr="00DE294A">
        <w:rPr>
          <w:b w:val="0"/>
          <w:bCs w:val="0"/>
        </w:rPr>
        <w:t>мельдоний</w:t>
      </w:r>
      <w:proofErr w:type="spellEnd"/>
      <w:r w:rsidRPr="00DE294A">
        <w:rPr>
          <w:b w:val="0"/>
          <w:bCs w:val="0"/>
        </w:rPr>
        <w:t xml:space="preserve"> усиливает их действие.</w:t>
      </w:r>
    </w:p>
    <w:p w14:paraId="59377A5A" w14:textId="77777777" w:rsidR="00DE294A" w:rsidRDefault="00DE294A" w:rsidP="00DE294A">
      <w:pPr>
        <w:pStyle w:val="1"/>
        <w:spacing w:line="240" w:lineRule="auto"/>
        <w:jc w:val="both"/>
      </w:pPr>
      <w:r>
        <w:t>Беременность,</w:t>
      </w:r>
      <w:r>
        <w:rPr>
          <w:spacing w:val="-9"/>
        </w:rPr>
        <w:t xml:space="preserve"> </w:t>
      </w:r>
      <w:r>
        <w:t>грудное</w:t>
      </w:r>
      <w:r>
        <w:rPr>
          <w:spacing w:val="-7"/>
        </w:rPr>
        <w:t xml:space="preserve"> </w:t>
      </w:r>
      <w:r>
        <w:t>вскармливание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фертильность</w:t>
      </w:r>
    </w:p>
    <w:p w14:paraId="1E6C9520" w14:textId="77777777" w:rsidR="00DE294A" w:rsidRPr="00DE294A" w:rsidRDefault="00DE294A" w:rsidP="00DE294A">
      <w:pPr>
        <w:pStyle w:val="1"/>
        <w:jc w:val="both"/>
        <w:rPr>
          <w:b w:val="0"/>
          <w:bCs w:val="0"/>
          <w:u w:val="single"/>
        </w:rPr>
      </w:pPr>
      <w:r w:rsidRPr="00DE294A">
        <w:rPr>
          <w:b w:val="0"/>
          <w:bCs w:val="0"/>
          <w:u w:val="single"/>
        </w:rPr>
        <w:t>Беременность</w:t>
      </w:r>
    </w:p>
    <w:p w14:paraId="438D3FD7" w14:textId="71E93575" w:rsidR="00DE294A" w:rsidRPr="00DE294A" w:rsidRDefault="00DE294A" w:rsidP="00DE294A">
      <w:pPr>
        <w:pStyle w:val="1"/>
        <w:jc w:val="both"/>
        <w:rPr>
          <w:b w:val="0"/>
          <w:bCs w:val="0"/>
          <w:u w:val="single"/>
        </w:rPr>
      </w:pPr>
      <w:r w:rsidRPr="00DE294A">
        <w:rPr>
          <w:b w:val="0"/>
          <w:bCs w:val="0"/>
        </w:rPr>
        <w:t>Безопасность применения препарата у беременных женщин не изучена, поэтому во избежание возможного неблагоприятного воздействия на плод,</w:t>
      </w:r>
      <w:r w:rsidRPr="00DE294A">
        <w:rPr>
          <w:b w:val="0"/>
          <w:bCs w:val="0"/>
          <w:u w:val="single"/>
        </w:rPr>
        <w:t xml:space="preserve"> </w:t>
      </w:r>
      <w:r w:rsidRPr="00DE294A">
        <w:rPr>
          <w:b w:val="0"/>
          <w:bCs w:val="0"/>
        </w:rPr>
        <w:t>его применение противопоказано.</w:t>
      </w:r>
    </w:p>
    <w:p w14:paraId="1CD6E79C" w14:textId="77777777" w:rsidR="00DE294A" w:rsidRPr="00DE294A" w:rsidRDefault="00DE294A" w:rsidP="00DE294A">
      <w:pPr>
        <w:pStyle w:val="1"/>
        <w:jc w:val="both"/>
        <w:rPr>
          <w:b w:val="0"/>
          <w:bCs w:val="0"/>
          <w:u w:val="single"/>
        </w:rPr>
      </w:pPr>
      <w:r w:rsidRPr="00DE294A">
        <w:rPr>
          <w:b w:val="0"/>
          <w:bCs w:val="0"/>
          <w:u w:val="single"/>
        </w:rPr>
        <w:t>Лактация</w:t>
      </w:r>
    </w:p>
    <w:p w14:paraId="4623504F" w14:textId="77777777" w:rsidR="00DE294A" w:rsidRPr="00DE294A" w:rsidRDefault="00DE294A" w:rsidP="00DE294A">
      <w:pPr>
        <w:pStyle w:val="1"/>
        <w:spacing w:line="240" w:lineRule="auto"/>
        <w:jc w:val="both"/>
        <w:rPr>
          <w:b w:val="0"/>
          <w:bCs w:val="0"/>
        </w:rPr>
      </w:pPr>
      <w:r w:rsidRPr="00DE294A">
        <w:rPr>
          <w:b w:val="0"/>
          <w:bCs w:val="0"/>
        </w:rPr>
        <w:t>Выделение препарата с молоком и его влияние на состояние здоровья новорожденного не изучены. При необходимости применения препарата следует прекратить грудное вскармливание.</w:t>
      </w:r>
    </w:p>
    <w:p w14:paraId="02BD2333" w14:textId="7B09E857" w:rsidR="00DE294A" w:rsidRDefault="00DE294A" w:rsidP="00DE294A">
      <w:pPr>
        <w:pStyle w:val="1"/>
        <w:spacing w:line="240" w:lineRule="auto"/>
        <w:jc w:val="both"/>
      </w:pPr>
      <w:r>
        <w:t>Управление</w:t>
      </w:r>
      <w:r>
        <w:rPr>
          <w:spacing w:val="-8"/>
        </w:rPr>
        <w:t xml:space="preserve"> </w:t>
      </w:r>
      <w:r>
        <w:t>транспортными</w:t>
      </w:r>
      <w:r>
        <w:rPr>
          <w:spacing w:val="-5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механизмами</w:t>
      </w:r>
    </w:p>
    <w:p w14:paraId="5E0BFD33" w14:textId="565158D5" w:rsidR="00DE294A" w:rsidRDefault="00DE294A" w:rsidP="00DE294A">
      <w:pPr>
        <w:pStyle w:val="1"/>
        <w:spacing w:line="240" w:lineRule="auto"/>
        <w:ind w:left="142"/>
        <w:jc w:val="both"/>
        <w:rPr>
          <w:b w:val="0"/>
          <w:bCs w:val="0"/>
        </w:rPr>
      </w:pPr>
      <w:r w:rsidRPr="00DE294A">
        <w:rPr>
          <w:b w:val="0"/>
          <w:bCs w:val="0"/>
        </w:rPr>
        <w:t>Нет данных о неблагоприятном воздействии препарата на скорость психомоторных реакций.</w:t>
      </w:r>
    </w:p>
    <w:p w14:paraId="0CFD6AF7" w14:textId="7CC1B40A" w:rsidR="00DE294A" w:rsidRDefault="00DE294A" w:rsidP="00DE294A">
      <w:pPr>
        <w:pStyle w:val="1"/>
        <w:spacing w:line="240" w:lineRule="auto"/>
        <w:ind w:left="142"/>
        <w:jc w:val="both"/>
      </w:pPr>
      <w:r>
        <w:t xml:space="preserve">3.Прием препарата </w:t>
      </w:r>
      <w:proofErr w:type="spellStart"/>
      <w:r w:rsidR="00921C32" w:rsidRPr="00921C32">
        <w:rPr>
          <w:spacing w:val="-5"/>
        </w:rPr>
        <w:t>Мелдовенс</w:t>
      </w:r>
      <w:proofErr w:type="spellEnd"/>
    </w:p>
    <w:p w14:paraId="460A2705" w14:textId="77777777" w:rsidR="005E44A0" w:rsidRPr="005E44A0" w:rsidRDefault="005E44A0" w:rsidP="005E44A0">
      <w:pPr>
        <w:widowControl/>
        <w:autoSpaceDE/>
        <w:ind w:left="142"/>
        <w:rPr>
          <w:sz w:val="28"/>
          <w:szCs w:val="28"/>
        </w:rPr>
      </w:pPr>
      <w:r w:rsidRPr="005E44A0">
        <w:rPr>
          <w:sz w:val="28"/>
          <w:szCs w:val="28"/>
        </w:rPr>
        <w:t>Ввиду возможного развития возбуждающего эффекта, рекомендуется применять препарат в первой половине дня.</w:t>
      </w:r>
    </w:p>
    <w:p w14:paraId="0E87C64F" w14:textId="77777777" w:rsidR="005E44A0" w:rsidRPr="005E44A0" w:rsidRDefault="005E44A0" w:rsidP="005E44A0">
      <w:pPr>
        <w:widowControl/>
        <w:autoSpaceDE/>
        <w:ind w:left="142"/>
        <w:rPr>
          <w:sz w:val="28"/>
          <w:szCs w:val="28"/>
        </w:rPr>
      </w:pPr>
      <w:r w:rsidRPr="005E44A0">
        <w:rPr>
          <w:sz w:val="28"/>
          <w:szCs w:val="28"/>
        </w:rPr>
        <w:t xml:space="preserve">Препарат вводится внутривенно, внутримышечно, </w:t>
      </w:r>
      <w:proofErr w:type="spellStart"/>
      <w:r w:rsidRPr="005E44A0">
        <w:rPr>
          <w:sz w:val="28"/>
          <w:szCs w:val="28"/>
        </w:rPr>
        <w:t>парабульбарно</w:t>
      </w:r>
      <w:proofErr w:type="spellEnd"/>
      <w:r w:rsidRPr="005E44A0">
        <w:rPr>
          <w:sz w:val="28"/>
          <w:szCs w:val="28"/>
        </w:rPr>
        <w:t>. Способ введения, дозы и продолжительность курса лечения устанавливают индивидуально, в зависимости от показаний, тяжести состояния и др.</w:t>
      </w:r>
    </w:p>
    <w:p w14:paraId="09CF6FDD" w14:textId="77777777" w:rsidR="005E44A0" w:rsidRPr="005E44A0" w:rsidRDefault="005E44A0" w:rsidP="005E44A0">
      <w:pPr>
        <w:widowControl/>
        <w:autoSpaceDE/>
        <w:ind w:left="142"/>
        <w:rPr>
          <w:sz w:val="28"/>
          <w:szCs w:val="28"/>
        </w:rPr>
      </w:pPr>
      <w:r w:rsidRPr="005E44A0">
        <w:rPr>
          <w:sz w:val="28"/>
          <w:szCs w:val="28"/>
        </w:rPr>
        <w:t>Сердечно-сосудистые заболевания</w:t>
      </w:r>
    </w:p>
    <w:p w14:paraId="7603165F" w14:textId="77777777" w:rsidR="005E44A0" w:rsidRPr="005E44A0" w:rsidRDefault="005E44A0" w:rsidP="005E44A0">
      <w:pPr>
        <w:widowControl/>
        <w:autoSpaceDE/>
        <w:ind w:left="142"/>
        <w:rPr>
          <w:sz w:val="28"/>
          <w:szCs w:val="28"/>
        </w:rPr>
      </w:pPr>
      <w:r w:rsidRPr="005E44A0">
        <w:rPr>
          <w:sz w:val="28"/>
          <w:szCs w:val="28"/>
        </w:rPr>
        <w:t xml:space="preserve">В составе комплексной терапии: ишемическая болезнь сердца (инфаркт миокарда) внутривенно </w:t>
      </w:r>
      <w:proofErr w:type="spellStart"/>
      <w:r w:rsidRPr="005E44A0">
        <w:rPr>
          <w:sz w:val="28"/>
          <w:szCs w:val="28"/>
        </w:rPr>
        <w:t>струйно</w:t>
      </w:r>
      <w:proofErr w:type="spellEnd"/>
      <w:r w:rsidRPr="005E44A0">
        <w:rPr>
          <w:sz w:val="28"/>
          <w:szCs w:val="28"/>
        </w:rPr>
        <w:t xml:space="preserve"> по 0,5–1 г в день (5–10 мл препарата); ишемическая болезнь сердца (стабильная стенокардия); хроническая сердечная недостаточность и кардиомиопатия на фоне </w:t>
      </w:r>
      <w:proofErr w:type="spellStart"/>
      <w:r w:rsidRPr="005E44A0">
        <w:rPr>
          <w:sz w:val="28"/>
          <w:szCs w:val="28"/>
        </w:rPr>
        <w:t>дисгормональных</w:t>
      </w:r>
      <w:proofErr w:type="spellEnd"/>
      <w:r w:rsidRPr="005E44A0">
        <w:rPr>
          <w:sz w:val="28"/>
          <w:szCs w:val="28"/>
        </w:rPr>
        <w:t xml:space="preserve"> нарушений внутривенно </w:t>
      </w:r>
      <w:proofErr w:type="spellStart"/>
      <w:r w:rsidRPr="005E44A0">
        <w:rPr>
          <w:sz w:val="28"/>
          <w:szCs w:val="28"/>
        </w:rPr>
        <w:t>струйно</w:t>
      </w:r>
      <w:proofErr w:type="spellEnd"/>
      <w:r w:rsidRPr="005E44A0">
        <w:rPr>
          <w:sz w:val="28"/>
          <w:szCs w:val="28"/>
        </w:rPr>
        <w:t xml:space="preserve"> по 0,5–1 г в день (5–10 мл препарата) или внутримышечно по 0,5 г 1–2 раза в сутки. Курс лечения 10–14 дней с последующим переходом на прием препарата внутрь. Общий курс лечения 4–6 недель.</w:t>
      </w:r>
    </w:p>
    <w:p w14:paraId="6F7E3757" w14:textId="77777777" w:rsidR="005E44A0" w:rsidRPr="005E44A0" w:rsidRDefault="005E44A0" w:rsidP="005E44A0">
      <w:pPr>
        <w:widowControl/>
        <w:autoSpaceDE/>
        <w:ind w:left="142"/>
        <w:rPr>
          <w:sz w:val="28"/>
          <w:szCs w:val="28"/>
        </w:rPr>
      </w:pPr>
      <w:r w:rsidRPr="005E44A0">
        <w:rPr>
          <w:sz w:val="28"/>
          <w:szCs w:val="28"/>
        </w:rPr>
        <w:t>Нарушение мозгового кровообращения</w:t>
      </w:r>
    </w:p>
    <w:p w14:paraId="581DF61F" w14:textId="77777777" w:rsidR="005E44A0" w:rsidRPr="005E44A0" w:rsidRDefault="005E44A0" w:rsidP="005E44A0">
      <w:pPr>
        <w:widowControl/>
        <w:autoSpaceDE/>
        <w:ind w:left="142"/>
        <w:rPr>
          <w:sz w:val="28"/>
          <w:szCs w:val="28"/>
        </w:rPr>
      </w:pPr>
      <w:r w:rsidRPr="005E44A0">
        <w:rPr>
          <w:sz w:val="28"/>
          <w:szCs w:val="28"/>
        </w:rPr>
        <w:t>В составе комплексной терапии в острой фазе по 0,5 г (5 мл препарата) 1 раз в день внутривенно в течение 10 дней с последующим переходом на прием препарата внутрь по 0,5–1 г. Общий курс лечения 4–6 недель.</w:t>
      </w:r>
    </w:p>
    <w:p w14:paraId="1077E44C" w14:textId="77777777" w:rsidR="005E44A0" w:rsidRPr="005E44A0" w:rsidRDefault="005E44A0" w:rsidP="005E44A0">
      <w:pPr>
        <w:widowControl/>
        <w:autoSpaceDE/>
        <w:ind w:left="142"/>
        <w:rPr>
          <w:sz w:val="28"/>
          <w:szCs w:val="28"/>
        </w:rPr>
      </w:pPr>
      <w:r w:rsidRPr="005E44A0">
        <w:rPr>
          <w:sz w:val="28"/>
          <w:szCs w:val="28"/>
        </w:rPr>
        <w:t>При хронической недостаточности мозгового кровообращения (</w:t>
      </w:r>
      <w:proofErr w:type="spellStart"/>
      <w:r w:rsidRPr="005E44A0">
        <w:rPr>
          <w:sz w:val="28"/>
          <w:szCs w:val="28"/>
        </w:rPr>
        <w:t>дисциркуляторной</w:t>
      </w:r>
      <w:proofErr w:type="spellEnd"/>
      <w:r w:rsidRPr="005E44A0">
        <w:rPr>
          <w:sz w:val="28"/>
          <w:szCs w:val="28"/>
        </w:rPr>
        <w:t xml:space="preserve"> энцефалопатии) по 0,5 г (5 мл препарата) внутримышечно или внутривенно 1 раз в день в течение 10 дней с последующим переходом на прием препарата внутрь по 0,5 г. Общий курс лечения 4–6 недель.</w:t>
      </w:r>
    </w:p>
    <w:p w14:paraId="627DF3B3" w14:textId="77777777" w:rsidR="005E44A0" w:rsidRPr="005E44A0" w:rsidRDefault="005E44A0" w:rsidP="005E44A0">
      <w:pPr>
        <w:widowControl/>
        <w:autoSpaceDE/>
        <w:ind w:left="142"/>
        <w:rPr>
          <w:sz w:val="28"/>
          <w:szCs w:val="28"/>
        </w:rPr>
      </w:pPr>
      <w:r w:rsidRPr="005E44A0">
        <w:rPr>
          <w:sz w:val="28"/>
          <w:szCs w:val="28"/>
        </w:rPr>
        <w:t>Повторные курсы (обычно 2–3 раза в год) возможны после консультации с врачом. Офтальмология</w:t>
      </w:r>
    </w:p>
    <w:p w14:paraId="14FB0DCB" w14:textId="77777777" w:rsidR="005E44A0" w:rsidRPr="005E44A0" w:rsidRDefault="005E44A0" w:rsidP="005E44A0">
      <w:pPr>
        <w:widowControl/>
        <w:autoSpaceDE/>
        <w:ind w:left="142"/>
        <w:rPr>
          <w:sz w:val="28"/>
          <w:szCs w:val="28"/>
        </w:rPr>
      </w:pPr>
      <w:proofErr w:type="spellStart"/>
      <w:r w:rsidRPr="005E44A0">
        <w:rPr>
          <w:sz w:val="28"/>
          <w:szCs w:val="28"/>
        </w:rPr>
        <w:t>Гемофтальм</w:t>
      </w:r>
      <w:proofErr w:type="spellEnd"/>
      <w:r w:rsidRPr="005E44A0">
        <w:rPr>
          <w:sz w:val="28"/>
          <w:szCs w:val="28"/>
        </w:rPr>
        <w:t xml:space="preserve"> и кровоизлияния в сетчатку различной этиологии, тромбоз центральной вены сетчатки и ее ветвей, ретинопатия различной этиологии (диабетическая и гипертоническая). По 0,05 г (0,5 мл препарата) </w:t>
      </w:r>
      <w:proofErr w:type="spellStart"/>
      <w:r w:rsidRPr="005E44A0">
        <w:rPr>
          <w:sz w:val="28"/>
          <w:szCs w:val="28"/>
        </w:rPr>
        <w:t>парабульбарно</w:t>
      </w:r>
      <w:proofErr w:type="spellEnd"/>
      <w:r w:rsidRPr="005E44A0">
        <w:rPr>
          <w:sz w:val="28"/>
          <w:szCs w:val="28"/>
        </w:rPr>
        <w:t xml:space="preserve"> в течение 10 дней. В том числе применяется в составе комбинированной терапии.</w:t>
      </w:r>
    </w:p>
    <w:p w14:paraId="7E4CF092" w14:textId="77777777" w:rsidR="005E44A0" w:rsidRPr="005E44A0" w:rsidRDefault="005E44A0" w:rsidP="005E44A0">
      <w:pPr>
        <w:widowControl/>
        <w:autoSpaceDE/>
        <w:ind w:left="142"/>
        <w:rPr>
          <w:sz w:val="28"/>
          <w:szCs w:val="28"/>
        </w:rPr>
      </w:pPr>
      <w:r w:rsidRPr="005E44A0">
        <w:rPr>
          <w:sz w:val="28"/>
          <w:szCs w:val="28"/>
        </w:rPr>
        <w:t>Умственные и физические перегрузки</w:t>
      </w:r>
    </w:p>
    <w:p w14:paraId="68B60A59" w14:textId="77777777" w:rsidR="005E44A0" w:rsidRPr="005E44A0" w:rsidRDefault="005E44A0" w:rsidP="005E44A0">
      <w:pPr>
        <w:widowControl/>
        <w:autoSpaceDE/>
        <w:ind w:left="142"/>
        <w:rPr>
          <w:sz w:val="28"/>
          <w:szCs w:val="28"/>
        </w:rPr>
      </w:pPr>
      <w:r w:rsidRPr="005E44A0">
        <w:rPr>
          <w:sz w:val="28"/>
          <w:szCs w:val="28"/>
        </w:rPr>
        <w:lastRenderedPageBreak/>
        <w:t xml:space="preserve"> </w:t>
      </w:r>
    </w:p>
    <w:p w14:paraId="2AB7D52B" w14:textId="77777777" w:rsidR="005E44A0" w:rsidRPr="005E44A0" w:rsidRDefault="005E44A0" w:rsidP="005E44A0">
      <w:pPr>
        <w:widowControl/>
        <w:autoSpaceDE/>
        <w:ind w:left="142"/>
        <w:rPr>
          <w:sz w:val="28"/>
          <w:szCs w:val="28"/>
        </w:rPr>
      </w:pPr>
      <w:r w:rsidRPr="005E44A0">
        <w:rPr>
          <w:sz w:val="28"/>
          <w:szCs w:val="28"/>
        </w:rPr>
        <w:t>По 0,5 г (5 мл препарата) внутримышечно или внутривенно 1 раз в день. Курс лечения 10– 14 дней. При необходимости лечение повторяют через 2–3 недели.</w:t>
      </w:r>
    </w:p>
    <w:p w14:paraId="6979AE7B" w14:textId="77777777" w:rsidR="005E44A0" w:rsidRPr="005E44A0" w:rsidRDefault="005E44A0" w:rsidP="005E44A0">
      <w:pPr>
        <w:widowControl/>
        <w:autoSpaceDE/>
        <w:ind w:left="142"/>
        <w:rPr>
          <w:sz w:val="28"/>
          <w:szCs w:val="28"/>
        </w:rPr>
      </w:pPr>
      <w:r w:rsidRPr="005E44A0">
        <w:rPr>
          <w:sz w:val="28"/>
          <w:szCs w:val="28"/>
        </w:rPr>
        <w:t>Хронический алкоголизм</w:t>
      </w:r>
    </w:p>
    <w:p w14:paraId="7A983F60" w14:textId="77777777" w:rsidR="005E44A0" w:rsidRDefault="005E44A0" w:rsidP="005E44A0">
      <w:pPr>
        <w:widowControl/>
        <w:autoSpaceDE/>
        <w:ind w:left="142"/>
        <w:rPr>
          <w:sz w:val="28"/>
          <w:szCs w:val="28"/>
        </w:rPr>
      </w:pPr>
      <w:r w:rsidRPr="005E44A0">
        <w:rPr>
          <w:sz w:val="28"/>
          <w:szCs w:val="28"/>
        </w:rPr>
        <w:t>По 0,5 г (5 мл препарата) внутримышечно или внутривенно 2 раза в день. Курс лечения 7–10 дней.</w:t>
      </w:r>
    </w:p>
    <w:p w14:paraId="2DF13481" w14:textId="16273E93" w:rsidR="00DE294A" w:rsidRDefault="00DE294A" w:rsidP="005E44A0">
      <w:pPr>
        <w:widowControl/>
        <w:autoSpaceDE/>
        <w:ind w:left="142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Применение у детей и подростков до 18 лет</w:t>
      </w:r>
    </w:p>
    <w:p w14:paraId="19780CA3" w14:textId="77777777" w:rsidR="00DE294A" w:rsidRDefault="00DE294A" w:rsidP="00DE294A">
      <w:pPr>
        <w:widowControl/>
        <w:autoSpaceDE/>
        <w:ind w:left="14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Безопасность и эффективность препарата при применении у детей и подростков в возрасте до 18 лет до сих пор не доказаны. Данные недоступны.   Поэтому препарат не рекомендуется применять детям и подросткам до 18 лет. </w:t>
      </w:r>
    </w:p>
    <w:p w14:paraId="2D897F8A" w14:textId="77777777" w:rsidR="00DE294A" w:rsidRDefault="00DE294A" w:rsidP="00DE294A">
      <w:pPr>
        <w:widowControl/>
        <w:autoSpaceDE/>
        <w:ind w:left="142"/>
        <w:jc w:val="both"/>
        <w:rPr>
          <w:bCs/>
          <w:i/>
          <w:iCs/>
          <w:sz w:val="28"/>
          <w:szCs w:val="28"/>
          <w:u w:val="single"/>
          <w:lang w:eastAsia="ru-RU"/>
        </w:rPr>
      </w:pPr>
      <w:r>
        <w:rPr>
          <w:bCs/>
          <w:i/>
          <w:iCs/>
          <w:sz w:val="28"/>
          <w:szCs w:val="28"/>
          <w:u w:val="single"/>
          <w:lang w:eastAsia="ru-RU"/>
        </w:rPr>
        <w:t>Особые группы пациентов</w:t>
      </w:r>
    </w:p>
    <w:p w14:paraId="58106D8F" w14:textId="77777777" w:rsidR="005E44A0" w:rsidRPr="005E44A0" w:rsidRDefault="005E44A0" w:rsidP="005E44A0">
      <w:pPr>
        <w:pStyle w:val="1"/>
        <w:ind w:left="142"/>
        <w:jc w:val="both"/>
        <w:rPr>
          <w:b w:val="0"/>
          <w:bCs w:val="0"/>
          <w:color w:val="000000"/>
          <w:lang w:eastAsia="ru-RU"/>
        </w:rPr>
      </w:pPr>
      <w:r w:rsidRPr="005E44A0">
        <w:rPr>
          <w:b w:val="0"/>
          <w:bCs w:val="0"/>
          <w:color w:val="000000"/>
          <w:lang w:eastAsia="ru-RU"/>
        </w:rPr>
        <w:t xml:space="preserve">Многолетний опыт лечения острого инфаркта миокарда и нестабильной стенокардии в кардиологических отделениях показывает, что </w:t>
      </w:r>
      <w:proofErr w:type="spellStart"/>
      <w:r w:rsidRPr="005E44A0">
        <w:rPr>
          <w:b w:val="0"/>
          <w:bCs w:val="0"/>
          <w:color w:val="000000"/>
          <w:lang w:eastAsia="ru-RU"/>
        </w:rPr>
        <w:t>мельдоний</w:t>
      </w:r>
      <w:proofErr w:type="spellEnd"/>
      <w:r w:rsidRPr="005E44A0">
        <w:rPr>
          <w:b w:val="0"/>
          <w:bCs w:val="0"/>
          <w:color w:val="000000"/>
          <w:lang w:eastAsia="ru-RU"/>
        </w:rPr>
        <w:t xml:space="preserve"> не является препаратом I ряда при остром коронарном синдроме и его применение не является строго необходимым.</w:t>
      </w:r>
    </w:p>
    <w:p w14:paraId="32F98BA9" w14:textId="77777777" w:rsidR="005E44A0" w:rsidRDefault="005E44A0" w:rsidP="005E44A0">
      <w:pPr>
        <w:pStyle w:val="1"/>
        <w:spacing w:line="240" w:lineRule="auto"/>
        <w:ind w:left="142"/>
        <w:jc w:val="both"/>
        <w:rPr>
          <w:b w:val="0"/>
          <w:bCs w:val="0"/>
          <w:color w:val="000000"/>
          <w:lang w:eastAsia="ru-RU"/>
        </w:rPr>
      </w:pPr>
      <w:r w:rsidRPr="005E44A0">
        <w:rPr>
          <w:b w:val="0"/>
          <w:bCs w:val="0"/>
          <w:color w:val="000000"/>
          <w:lang w:eastAsia="ru-RU"/>
        </w:rPr>
        <w:t xml:space="preserve">С 1 января 2016 года </w:t>
      </w:r>
      <w:proofErr w:type="spellStart"/>
      <w:r w:rsidRPr="005E44A0">
        <w:rPr>
          <w:b w:val="0"/>
          <w:bCs w:val="0"/>
          <w:color w:val="000000"/>
          <w:lang w:eastAsia="ru-RU"/>
        </w:rPr>
        <w:t>мельдоний</w:t>
      </w:r>
      <w:proofErr w:type="spellEnd"/>
      <w:r w:rsidRPr="005E44A0">
        <w:rPr>
          <w:b w:val="0"/>
          <w:bCs w:val="0"/>
          <w:color w:val="000000"/>
          <w:lang w:eastAsia="ru-RU"/>
        </w:rPr>
        <w:t xml:space="preserve"> включен в список запрещенных веществ Всемирного антидопингового агентства.</w:t>
      </w:r>
    </w:p>
    <w:p w14:paraId="6DB80F0D" w14:textId="28CBF16C" w:rsidR="00DE294A" w:rsidRDefault="00DE294A" w:rsidP="005E44A0">
      <w:pPr>
        <w:pStyle w:val="1"/>
        <w:spacing w:line="240" w:lineRule="auto"/>
        <w:ind w:left="142"/>
        <w:jc w:val="both"/>
      </w:pPr>
      <w:r>
        <w:t>Путь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способ</w:t>
      </w:r>
      <w:r>
        <w:rPr>
          <w:spacing w:val="-2"/>
        </w:rPr>
        <w:t xml:space="preserve"> введения</w:t>
      </w:r>
    </w:p>
    <w:p w14:paraId="275798DF" w14:textId="4937D5FF" w:rsidR="00DE294A" w:rsidRDefault="005E44A0" w:rsidP="00DE294A">
      <w:pPr>
        <w:pStyle w:val="1"/>
        <w:spacing w:line="240" w:lineRule="auto"/>
        <w:ind w:left="142"/>
        <w:jc w:val="both"/>
        <w:rPr>
          <w:b w:val="0"/>
          <w:bCs w:val="0"/>
        </w:rPr>
      </w:pPr>
      <w:r w:rsidRPr="005E44A0">
        <w:rPr>
          <w:b w:val="0"/>
          <w:bCs w:val="0"/>
          <w:color w:val="000000"/>
          <w:lang w:eastAsia="ru-RU"/>
        </w:rPr>
        <w:t xml:space="preserve">Препарат вводится внутривенно, внутримышечно, </w:t>
      </w:r>
      <w:proofErr w:type="spellStart"/>
      <w:r w:rsidRPr="005E44A0">
        <w:rPr>
          <w:b w:val="0"/>
          <w:bCs w:val="0"/>
          <w:color w:val="000000"/>
          <w:lang w:eastAsia="ru-RU"/>
        </w:rPr>
        <w:t>парабульбарно</w:t>
      </w:r>
      <w:proofErr w:type="spellEnd"/>
      <w:r w:rsidRPr="005E44A0">
        <w:rPr>
          <w:b w:val="0"/>
          <w:bCs w:val="0"/>
          <w:color w:val="000000"/>
          <w:lang w:eastAsia="ru-RU"/>
        </w:rPr>
        <w:t>. Способ введения, дозы и продолжительность курса лечения устанавливают индивидуально, в зависимости от показаний, тяжести состояния и др.</w:t>
      </w:r>
    </w:p>
    <w:p w14:paraId="6690792D" w14:textId="63EF43A8" w:rsidR="00DE294A" w:rsidRDefault="00DE294A" w:rsidP="00DE294A">
      <w:pPr>
        <w:pStyle w:val="1"/>
        <w:spacing w:line="240" w:lineRule="auto"/>
        <w:ind w:left="142"/>
        <w:jc w:val="both"/>
      </w:pPr>
      <w:r>
        <w:t xml:space="preserve">Если Вы приняли препарата </w:t>
      </w:r>
      <w:proofErr w:type="spellStart"/>
      <w:r w:rsidR="00921C32" w:rsidRPr="00921C32">
        <w:rPr>
          <w:spacing w:val="-5"/>
        </w:rPr>
        <w:t>Мелдовенс</w:t>
      </w:r>
      <w:proofErr w:type="spellEnd"/>
      <w:r>
        <w:t xml:space="preserve"> больше, чем следовало</w:t>
      </w:r>
    </w:p>
    <w:p w14:paraId="1EE63F32" w14:textId="77777777" w:rsidR="005E44A0" w:rsidRPr="005E44A0" w:rsidRDefault="005E44A0" w:rsidP="005E44A0">
      <w:pPr>
        <w:pStyle w:val="1"/>
        <w:ind w:left="142"/>
        <w:jc w:val="both"/>
        <w:rPr>
          <w:b w:val="0"/>
          <w:bCs w:val="0"/>
          <w:u w:val="single"/>
        </w:rPr>
      </w:pPr>
      <w:r w:rsidRPr="005E44A0">
        <w:rPr>
          <w:b w:val="0"/>
          <w:bCs w:val="0"/>
          <w:u w:val="single"/>
        </w:rPr>
        <w:t>Симптомы</w:t>
      </w:r>
    </w:p>
    <w:p w14:paraId="02131B03" w14:textId="77777777" w:rsidR="005E44A0" w:rsidRPr="005E44A0" w:rsidRDefault="005E44A0" w:rsidP="005E44A0">
      <w:pPr>
        <w:pStyle w:val="1"/>
        <w:ind w:left="142"/>
        <w:jc w:val="both"/>
        <w:rPr>
          <w:b w:val="0"/>
          <w:bCs w:val="0"/>
        </w:rPr>
      </w:pPr>
      <w:r w:rsidRPr="005E44A0">
        <w:rPr>
          <w:b w:val="0"/>
          <w:bCs w:val="0"/>
        </w:rPr>
        <w:t>Снижение артериального давления, сопровождающееся головной болью, тахикардией, головокружением, общей слабостью.</w:t>
      </w:r>
    </w:p>
    <w:p w14:paraId="31FFFE42" w14:textId="77777777" w:rsidR="005E44A0" w:rsidRPr="005E44A0" w:rsidRDefault="005E44A0" w:rsidP="005E44A0">
      <w:pPr>
        <w:pStyle w:val="1"/>
        <w:ind w:left="142"/>
        <w:jc w:val="both"/>
        <w:rPr>
          <w:b w:val="0"/>
          <w:bCs w:val="0"/>
          <w:u w:val="single"/>
        </w:rPr>
      </w:pPr>
      <w:r w:rsidRPr="005E44A0">
        <w:rPr>
          <w:b w:val="0"/>
          <w:bCs w:val="0"/>
          <w:u w:val="single"/>
        </w:rPr>
        <w:t>Лечение</w:t>
      </w:r>
    </w:p>
    <w:p w14:paraId="44C9FE59" w14:textId="77777777" w:rsidR="005E44A0" w:rsidRPr="005E44A0" w:rsidRDefault="005E44A0" w:rsidP="005E44A0">
      <w:pPr>
        <w:pStyle w:val="1"/>
        <w:ind w:left="142"/>
        <w:jc w:val="both"/>
        <w:rPr>
          <w:b w:val="0"/>
          <w:bCs w:val="0"/>
        </w:rPr>
      </w:pPr>
      <w:r w:rsidRPr="005E44A0">
        <w:rPr>
          <w:b w:val="0"/>
          <w:bCs w:val="0"/>
        </w:rPr>
        <w:t>Лечение симптоматическое.</w:t>
      </w:r>
    </w:p>
    <w:p w14:paraId="4768D469" w14:textId="142F7B0B" w:rsidR="00DE294A" w:rsidRDefault="005E44A0" w:rsidP="005E44A0">
      <w:pPr>
        <w:pStyle w:val="1"/>
        <w:spacing w:line="240" w:lineRule="auto"/>
        <w:ind w:left="142"/>
        <w:jc w:val="both"/>
        <w:rPr>
          <w:b w:val="0"/>
          <w:bCs w:val="0"/>
        </w:rPr>
      </w:pPr>
      <w:proofErr w:type="spellStart"/>
      <w:r w:rsidRPr="005E44A0">
        <w:rPr>
          <w:b w:val="0"/>
          <w:bCs w:val="0"/>
        </w:rPr>
        <w:t>Мельдоний</w:t>
      </w:r>
      <w:proofErr w:type="spellEnd"/>
      <w:r w:rsidRPr="005E44A0">
        <w:rPr>
          <w:b w:val="0"/>
          <w:bCs w:val="0"/>
        </w:rPr>
        <w:t xml:space="preserve"> </w:t>
      </w:r>
      <w:proofErr w:type="spellStart"/>
      <w:r w:rsidRPr="005E44A0">
        <w:rPr>
          <w:b w:val="0"/>
          <w:bCs w:val="0"/>
        </w:rPr>
        <w:t>малотоксичен</w:t>
      </w:r>
      <w:proofErr w:type="spellEnd"/>
      <w:r w:rsidRPr="005E44A0">
        <w:rPr>
          <w:b w:val="0"/>
          <w:bCs w:val="0"/>
        </w:rPr>
        <w:t xml:space="preserve"> и не вызывает нежелательных реакций, опасных для здоровья пациентов.</w:t>
      </w:r>
    </w:p>
    <w:p w14:paraId="1BA991F8" w14:textId="77777777" w:rsidR="00DE294A" w:rsidRDefault="00DE294A" w:rsidP="00DE294A">
      <w:pPr>
        <w:pStyle w:val="1"/>
        <w:spacing w:line="240" w:lineRule="auto"/>
        <w:ind w:left="142"/>
        <w:jc w:val="both"/>
        <w:rPr>
          <w:b w:val="0"/>
          <w:bCs w:val="0"/>
        </w:rPr>
      </w:pPr>
    </w:p>
    <w:p w14:paraId="5351980E" w14:textId="77777777" w:rsidR="00DE294A" w:rsidRDefault="00DE294A" w:rsidP="00DE294A">
      <w:pPr>
        <w:ind w:left="121" w:right="108" w:hang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Возможные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нежелательные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реакции</w:t>
      </w:r>
    </w:p>
    <w:p w14:paraId="3C30D319" w14:textId="77777777" w:rsidR="005E44A0" w:rsidRPr="005E44A0" w:rsidRDefault="005E44A0" w:rsidP="005E44A0">
      <w:pPr>
        <w:pStyle w:val="1"/>
        <w:ind w:left="142"/>
        <w:jc w:val="both"/>
        <w:rPr>
          <w:b w:val="0"/>
          <w:bCs w:val="0"/>
        </w:rPr>
      </w:pPr>
      <w:r w:rsidRPr="005E44A0">
        <w:rPr>
          <w:b w:val="0"/>
          <w:bCs w:val="0"/>
        </w:rPr>
        <w:t>Резюме нежелательных реакций</w:t>
      </w:r>
    </w:p>
    <w:p w14:paraId="381F3090" w14:textId="77777777" w:rsidR="005E44A0" w:rsidRPr="005E44A0" w:rsidRDefault="005E44A0" w:rsidP="005E44A0">
      <w:pPr>
        <w:pStyle w:val="1"/>
        <w:ind w:left="142"/>
        <w:jc w:val="both"/>
        <w:rPr>
          <w:b w:val="0"/>
          <w:bCs w:val="0"/>
        </w:rPr>
      </w:pPr>
      <w:r w:rsidRPr="005E44A0">
        <w:rPr>
          <w:b w:val="0"/>
          <w:bCs w:val="0"/>
        </w:rPr>
        <w:t>Нежелательные реакции представлены в соответствии с поражением органов и систем органов в последовательности медицинского словаря для нормативно-правовой деятельности (</w:t>
      </w:r>
      <w:proofErr w:type="spellStart"/>
      <w:r w:rsidRPr="005E44A0">
        <w:rPr>
          <w:b w:val="0"/>
          <w:bCs w:val="0"/>
        </w:rPr>
        <w:t>MedDRA</w:t>
      </w:r>
      <w:proofErr w:type="spellEnd"/>
      <w:r w:rsidRPr="005E44A0">
        <w:rPr>
          <w:b w:val="0"/>
          <w:bCs w:val="0"/>
        </w:rPr>
        <w:t>). Частота возникновения определялась в соответствии со следующими категориями: очень часто (≥1/10), часто (≥1/100, но &lt;1/10), нечасто (≥1/1000, но &lt;1/100), редко (≥1/10000, но &lt;1/1000), очень редко (&lt;1/10000), частота неизвестна (на основании имеющихся данных оценить невозможно).</w:t>
      </w:r>
    </w:p>
    <w:p w14:paraId="1F96CCEC" w14:textId="77777777" w:rsidR="005E44A0" w:rsidRPr="005E44A0" w:rsidRDefault="005E44A0" w:rsidP="005E44A0">
      <w:pPr>
        <w:pStyle w:val="1"/>
        <w:ind w:left="142"/>
        <w:jc w:val="both"/>
        <w:rPr>
          <w:b w:val="0"/>
          <w:bCs w:val="0"/>
        </w:rPr>
      </w:pPr>
      <w:r w:rsidRPr="005E44A0">
        <w:rPr>
          <w:b w:val="0"/>
          <w:bCs w:val="0"/>
        </w:rPr>
        <w:t>Нарушения со стороны иммунной системы: редко – кожная сыпь, ангионевротический отек.</w:t>
      </w:r>
    </w:p>
    <w:p w14:paraId="77402D95" w14:textId="77777777" w:rsidR="005E44A0" w:rsidRPr="005E44A0" w:rsidRDefault="005E44A0" w:rsidP="005E44A0">
      <w:pPr>
        <w:pStyle w:val="1"/>
        <w:ind w:left="142"/>
        <w:jc w:val="both"/>
        <w:rPr>
          <w:b w:val="0"/>
          <w:bCs w:val="0"/>
        </w:rPr>
      </w:pPr>
      <w:r w:rsidRPr="005E44A0">
        <w:rPr>
          <w:b w:val="0"/>
          <w:bCs w:val="0"/>
        </w:rPr>
        <w:t>Нарушения со стороны нервной системы: редко – психомоторное возбуждение.</w:t>
      </w:r>
    </w:p>
    <w:p w14:paraId="7421A1A4" w14:textId="77777777" w:rsidR="005E44A0" w:rsidRPr="005E44A0" w:rsidRDefault="005E44A0" w:rsidP="005E44A0">
      <w:pPr>
        <w:pStyle w:val="1"/>
        <w:ind w:left="142"/>
        <w:jc w:val="both"/>
        <w:rPr>
          <w:b w:val="0"/>
          <w:bCs w:val="0"/>
        </w:rPr>
      </w:pPr>
      <w:r w:rsidRPr="005E44A0">
        <w:rPr>
          <w:b w:val="0"/>
          <w:bCs w:val="0"/>
        </w:rPr>
        <w:lastRenderedPageBreak/>
        <w:t>Нарушения со стороны сердца: редко – тахикардия.</w:t>
      </w:r>
    </w:p>
    <w:p w14:paraId="4942FBCD" w14:textId="77777777" w:rsidR="005E44A0" w:rsidRPr="005E44A0" w:rsidRDefault="005E44A0" w:rsidP="005E44A0">
      <w:pPr>
        <w:pStyle w:val="1"/>
        <w:ind w:left="142"/>
        <w:jc w:val="both"/>
        <w:rPr>
          <w:b w:val="0"/>
          <w:bCs w:val="0"/>
        </w:rPr>
      </w:pPr>
      <w:r w:rsidRPr="005E44A0">
        <w:rPr>
          <w:b w:val="0"/>
          <w:bCs w:val="0"/>
        </w:rPr>
        <w:t>Нарушения со стороны сосудов: редко – снижение или повышение артериального давления.</w:t>
      </w:r>
    </w:p>
    <w:p w14:paraId="29C2BE9E" w14:textId="77777777" w:rsidR="005E44A0" w:rsidRPr="005E44A0" w:rsidRDefault="005E44A0" w:rsidP="005E44A0">
      <w:pPr>
        <w:pStyle w:val="1"/>
        <w:ind w:left="142"/>
        <w:jc w:val="both"/>
        <w:rPr>
          <w:b w:val="0"/>
          <w:bCs w:val="0"/>
        </w:rPr>
      </w:pPr>
      <w:r w:rsidRPr="005E44A0">
        <w:rPr>
          <w:b w:val="0"/>
          <w:bCs w:val="0"/>
        </w:rPr>
        <w:t xml:space="preserve">Желудочно-кишечные нарушения: редко – </w:t>
      </w:r>
      <w:proofErr w:type="spellStart"/>
      <w:r w:rsidRPr="005E44A0">
        <w:rPr>
          <w:b w:val="0"/>
          <w:bCs w:val="0"/>
        </w:rPr>
        <w:t>диспептические</w:t>
      </w:r>
      <w:proofErr w:type="spellEnd"/>
      <w:r w:rsidRPr="005E44A0">
        <w:rPr>
          <w:b w:val="0"/>
          <w:bCs w:val="0"/>
        </w:rPr>
        <w:t xml:space="preserve"> нарушения.</w:t>
      </w:r>
    </w:p>
    <w:p w14:paraId="2F177064" w14:textId="77777777" w:rsidR="005E44A0" w:rsidRPr="005E44A0" w:rsidRDefault="005E44A0" w:rsidP="005E44A0">
      <w:pPr>
        <w:pStyle w:val="1"/>
        <w:ind w:left="142"/>
        <w:jc w:val="both"/>
        <w:rPr>
          <w:b w:val="0"/>
          <w:bCs w:val="0"/>
        </w:rPr>
      </w:pPr>
      <w:r w:rsidRPr="005E44A0">
        <w:rPr>
          <w:b w:val="0"/>
          <w:bCs w:val="0"/>
        </w:rPr>
        <w:t>Нарушения со стороны кожи и подкожных тканей: редко – кожный зуд, покраснения кожных покровов.</w:t>
      </w:r>
    </w:p>
    <w:p w14:paraId="313F80A0" w14:textId="77777777" w:rsidR="005E44A0" w:rsidRPr="005E44A0" w:rsidRDefault="005E44A0" w:rsidP="005E44A0">
      <w:pPr>
        <w:pStyle w:val="1"/>
        <w:ind w:left="142"/>
        <w:jc w:val="both"/>
        <w:rPr>
          <w:b w:val="0"/>
          <w:bCs w:val="0"/>
        </w:rPr>
      </w:pPr>
      <w:r w:rsidRPr="005E44A0">
        <w:rPr>
          <w:b w:val="0"/>
          <w:bCs w:val="0"/>
        </w:rPr>
        <w:t>Общие нарушения и реакции в месте введения: очень редко – общая слабость.</w:t>
      </w:r>
    </w:p>
    <w:p w14:paraId="6457030B" w14:textId="6C363ADC" w:rsidR="00DE294A" w:rsidRDefault="005E44A0" w:rsidP="005E44A0">
      <w:pPr>
        <w:pStyle w:val="1"/>
        <w:spacing w:line="240" w:lineRule="auto"/>
        <w:ind w:left="142"/>
        <w:jc w:val="both"/>
        <w:rPr>
          <w:b w:val="0"/>
          <w:bCs w:val="0"/>
        </w:rPr>
      </w:pPr>
      <w:r w:rsidRPr="005E44A0">
        <w:rPr>
          <w:b w:val="0"/>
          <w:bCs w:val="0"/>
        </w:rPr>
        <w:t xml:space="preserve">Лабораторные и инструментальные данные: очень редко – </w:t>
      </w:r>
      <w:proofErr w:type="spellStart"/>
      <w:r w:rsidRPr="005E44A0">
        <w:rPr>
          <w:b w:val="0"/>
          <w:bCs w:val="0"/>
        </w:rPr>
        <w:t>эозинофилия</w:t>
      </w:r>
      <w:proofErr w:type="spellEnd"/>
      <w:r w:rsidRPr="005E44A0">
        <w:rPr>
          <w:b w:val="0"/>
          <w:bCs w:val="0"/>
        </w:rPr>
        <w:t>.</w:t>
      </w:r>
    </w:p>
    <w:p w14:paraId="791CA24C" w14:textId="77777777" w:rsidR="00DE294A" w:rsidRDefault="00DE294A" w:rsidP="00DE294A">
      <w:pPr>
        <w:pStyle w:val="1"/>
        <w:spacing w:before="317" w:line="240" w:lineRule="auto"/>
        <w:jc w:val="both"/>
      </w:pPr>
      <w:r>
        <w:t>Сообщение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нежелательных</w:t>
      </w:r>
      <w:r>
        <w:rPr>
          <w:spacing w:val="-4"/>
        </w:rPr>
        <w:t xml:space="preserve"> </w:t>
      </w:r>
      <w:r>
        <w:rPr>
          <w:spacing w:val="-2"/>
        </w:rPr>
        <w:t>реакциях</w:t>
      </w:r>
    </w:p>
    <w:p w14:paraId="5A8B2DA0" w14:textId="77777777" w:rsidR="00DE294A" w:rsidRDefault="00DE294A" w:rsidP="00DE294A">
      <w:pPr>
        <w:adjustRightInd w:val="0"/>
        <w:ind w:left="142"/>
        <w:jc w:val="both"/>
        <w:rPr>
          <w:rFonts w:eastAsia="TimesNewRomanPSMT"/>
          <w:iCs/>
          <w:sz w:val="28"/>
          <w:szCs w:val="28"/>
          <w:lang w:eastAsia="ru-RU"/>
        </w:rPr>
      </w:pPr>
      <w:r>
        <w:rPr>
          <w:rFonts w:eastAsia="TimesNewRomanPSMT"/>
          <w:iCs/>
          <w:sz w:val="28"/>
          <w:szCs w:val="28"/>
          <w:lang w:eastAsia="ru-RU"/>
        </w:rPr>
        <w:t>Если у вас возникают какие-либо нежелательные реакции,</w:t>
      </w:r>
      <w:r>
        <w:rPr>
          <w:rFonts w:eastAsia="TimesNewRomanPSMT"/>
          <w:i/>
          <w:sz w:val="28"/>
          <w:szCs w:val="28"/>
          <w:lang w:eastAsia="ru-RU"/>
        </w:rPr>
        <w:t xml:space="preserve"> </w:t>
      </w:r>
      <w:r>
        <w:rPr>
          <w:rFonts w:eastAsia="TimesNewRomanPSMT"/>
          <w:iCs/>
          <w:sz w:val="28"/>
          <w:szCs w:val="28"/>
          <w:lang w:eastAsia="ru-RU"/>
        </w:rPr>
        <w:t xml:space="preserve">сообщите об этом лечащему врачу или работнику аптеки. К ним относятся любые нежелательные реакции, в том числе не указанные в листке-вкладыше. </w:t>
      </w:r>
    </w:p>
    <w:p w14:paraId="2862423F" w14:textId="77777777" w:rsidR="00DE294A" w:rsidRDefault="00DE294A" w:rsidP="00DE294A">
      <w:pPr>
        <w:adjustRightInd w:val="0"/>
        <w:ind w:left="142"/>
        <w:jc w:val="both"/>
        <w:rPr>
          <w:rFonts w:eastAsia="TimesNewRomanPSMT"/>
          <w:iCs/>
          <w:sz w:val="28"/>
          <w:szCs w:val="28"/>
          <w:lang w:eastAsia="ru-RU"/>
        </w:rPr>
      </w:pPr>
      <w:r>
        <w:rPr>
          <w:rFonts w:eastAsia="TimesNewRomanPSMT"/>
          <w:iCs/>
          <w:sz w:val="28"/>
          <w:szCs w:val="28"/>
          <w:lang w:eastAsia="ru-RU"/>
        </w:rPr>
        <w:t>Вы также можете сообщить о нежелательных реакциях напрямую (см. ниже)</w:t>
      </w:r>
    </w:p>
    <w:p w14:paraId="5C942CAC" w14:textId="77777777" w:rsidR="00DE294A" w:rsidRDefault="00DE294A" w:rsidP="00DE294A">
      <w:pPr>
        <w:adjustRightInd w:val="0"/>
        <w:spacing w:after="120"/>
        <w:ind w:left="142"/>
        <w:jc w:val="both"/>
        <w:rPr>
          <w:rFonts w:eastAsia="TimesNewRomanPSMT"/>
          <w:iCs/>
          <w:sz w:val="28"/>
          <w:szCs w:val="28"/>
          <w:lang w:eastAsia="ru-RU"/>
        </w:rPr>
      </w:pPr>
      <w:r>
        <w:rPr>
          <w:rFonts w:eastAsia="TimesNewRomanPSMT"/>
          <w:iCs/>
          <w:sz w:val="28"/>
          <w:szCs w:val="28"/>
          <w:lang w:eastAsia="ru-RU"/>
        </w:rPr>
        <w:t>Сообщая о нежелательных реакциях, вы помогаете получить больше сведений о безопасности лекарственного препарата.</w:t>
      </w:r>
    </w:p>
    <w:p w14:paraId="3B82AEC2" w14:textId="77777777" w:rsidR="00DE294A" w:rsidRDefault="00DE294A" w:rsidP="00DE294A">
      <w:pPr>
        <w:adjustRightInd w:val="0"/>
        <w:ind w:left="142"/>
        <w:jc w:val="both"/>
        <w:rPr>
          <w:rFonts w:eastAsia="TimesNewRomanPSMT"/>
          <w:iCs/>
          <w:sz w:val="28"/>
          <w:szCs w:val="28"/>
          <w:lang w:eastAsia="ru-RU"/>
        </w:rPr>
      </w:pPr>
      <w:r>
        <w:rPr>
          <w:rFonts w:eastAsia="TimesNewRomanPSMT"/>
          <w:iCs/>
          <w:sz w:val="28"/>
          <w:szCs w:val="28"/>
          <w:lang w:eastAsia="ru-RU"/>
        </w:rPr>
        <w:t>Республика Армения</w:t>
      </w:r>
    </w:p>
    <w:p w14:paraId="1F770E03" w14:textId="77777777" w:rsidR="00DE294A" w:rsidRDefault="00DE294A" w:rsidP="00DE294A">
      <w:pPr>
        <w:adjustRightInd w:val="0"/>
        <w:ind w:left="142"/>
        <w:jc w:val="both"/>
        <w:rPr>
          <w:rFonts w:eastAsia="TimesNewRomanPSMT"/>
          <w:iCs/>
          <w:sz w:val="28"/>
          <w:szCs w:val="28"/>
          <w:lang w:eastAsia="ru-RU"/>
        </w:rPr>
      </w:pPr>
      <w:r>
        <w:rPr>
          <w:rFonts w:eastAsia="TimesNewRomanPSMT"/>
          <w:iCs/>
          <w:sz w:val="28"/>
          <w:szCs w:val="28"/>
          <w:lang w:eastAsia="ru-RU"/>
        </w:rPr>
        <w:t>АОЗТ «Научный центр экспертизы лекарств и медицинских технологий им. академика Э. Габриэляна</w:t>
      </w:r>
    </w:p>
    <w:p w14:paraId="35615225" w14:textId="77777777" w:rsidR="00DE294A" w:rsidRDefault="00DE294A" w:rsidP="00DE294A">
      <w:pPr>
        <w:adjustRightInd w:val="0"/>
        <w:ind w:left="142"/>
        <w:jc w:val="both"/>
        <w:rPr>
          <w:rFonts w:eastAsia="TimesNewRomanPSMT"/>
          <w:iCs/>
          <w:sz w:val="28"/>
          <w:szCs w:val="28"/>
          <w:lang w:eastAsia="ru-RU"/>
        </w:rPr>
      </w:pPr>
      <w:r>
        <w:rPr>
          <w:rFonts w:eastAsia="TimesNewRomanPSMT"/>
          <w:iCs/>
          <w:sz w:val="28"/>
          <w:szCs w:val="28"/>
          <w:lang w:eastAsia="ru-RU"/>
        </w:rPr>
        <w:t>0051 г. Ереван, пр. Комитаса 49/4</w:t>
      </w:r>
    </w:p>
    <w:p w14:paraId="71993319" w14:textId="77777777" w:rsidR="00DE294A" w:rsidRDefault="00DE294A" w:rsidP="00DE294A">
      <w:pPr>
        <w:adjustRightInd w:val="0"/>
        <w:ind w:left="142"/>
        <w:jc w:val="both"/>
        <w:rPr>
          <w:rFonts w:eastAsia="TimesNewRomanPSMT"/>
          <w:iCs/>
          <w:sz w:val="28"/>
          <w:szCs w:val="28"/>
          <w:lang w:eastAsia="ru-RU"/>
        </w:rPr>
      </w:pPr>
      <w:r>
        <w:rPr>
          <w:rFonts w:eastAsia="TimesNewRomanPSMT"/>
          <w:iCs/>
          <w:sz w:val="28"/>
          <w:szCs w:val="28"/>
          <w:lang w:eastAsia="ru-RU"/>
        </w:rPr>
        <w:t>Тел.:(+37410) 231682, 230896, 234732, 232091.</w:t>
      </w:r>
    </w:p>
    <w:p w14:paraId="1D4A483C" w14:textId="77777777" w:rsidR="00DE294A" w:rsidRDefault="00DE294A" w:rsidP="00DE294A">
      <w:pPr>
        <w:tabs>
          <w:tab w:val="left" w:pos="1345"/>
          <w:tab w:val="center" w:pos="4677"/>
          <w:tab w:val="right" w:pos="9355"/>
        </w:tabs>
        <w:ind w:left="142"/>
        <w:rPr>
          <w:bCs/>
          <w:spacing w:val="-1"/>
          <w:sz w:val="28"/>
          <w:szCs w:val="28"/>
          <w:lang w:eastAsia="ru-RU"/>
        </w:rPr>
      </w:pPr>
      <w:r>
        <w:rPr>
          <w:bCs/>
          <w:spacing w:val="-1"/>
          <w:sz w:val="28"/>
          <w:szCs w:val="28"/>
          <w:lang w:eastAsia="ru-RU"/>
        </w:rPr>
        <w:t>Телефон горячей линии отдела мониторинга безопасности лекарственных средств:</w:t>
      </w:r>
      <w:r>
        <w:rPr>
          <w:rFonts w:eastAsia="TimesNewRomanPSMT"/>
          <w:iCs/>
          <w:sz w:val="28"/>
          <w:szCs w:val="28"/>
          <w:lang w:eastAsia="ru-RU"/>
        </w:rPr>
        <w:t xml:space="preserve"> (+37410)200505, (+37496) 220505.</w:t>
      </w:r>
    </w:p>
    <w:p w14:paraId="45C1ECE7" w14:textId="77777777" w:rsidR="00DE294A" w:rsidRPr="00FA7AD9" w:rsidRDefault="00FA7AD9" w:rsidP="00FA7AD9">
      <w:pPr>
        <w:tabs>
          <w:tab w:val="left" w:pos="1345"/>
          <w:tab w:val="center" w:pos="4677"/>
          <w:tab w:val="right" w:pos="9355"/>
        </w:tabs>
        <w:ind w:left="142"/>
        <w:rPr>
          <w:bCs/>
          <w:spacing w:val="-1"/>
          <w:sz w:val="28"/>
          <w:szCs w:val="28"/>
          <w:lang w:eastAsia="ru-RU"/>
        </w:rPr>
      </w:pPr>
      <w:hyperlink r:id="rId5" w:history="1">
        <w:r w:rsidR="00DE294A" w:rsidRPr="00FA7AD9">
          <w:rPr>
            <w:bCs/>
            <w:sz w:val="28"/>
            <w:szCs w:val="28"/>
            <w:lang w:eastAsia="ru-RU"/>
          </w:rPr>
          <w:t>http://pharm.am</w:t>
        </w:r>
      </w:hyperlink>
    </w:p>
    <w:p w14:paraId="3BAA4238" w14:textId="77777777" w:rsidR="00DE294A" w:rsidRDefault="00DE294A" w:rsidP="00DE294A">
      <w:pPr>
        <w:kinsoku w:val="0"/>
        <w:overflowPunct w:val="0"/>
        <w:ind w:left="142"/>
        <w:rPr>
          <w:spacing w:val="-1"/>
          <w:sz w:val="28"/>
          <w:szCs w:val="28"/>
          <w:lang w:eastAsia="ru-RU"/>
        </w:rPr>
      </w:pPr>
    </w:p>
    <w:p w14:paraId="0DBB3231" w14:textId="1F05AF87" w:rsidR="00DE294A" w:rsidRDefault="00DE294A" w:rsidP="00DE294A">
      <w:pPr>
        <w:pStyle w:val="1"/>
        <w:numPr>
          <w:ilvl w:val="0"/>
          <w:numId w:val="3"/>
        </w:numPr>
        <w:tabs>
          <w:tab w:val="left" w:pos="401"/>
        </w:tabs>
        <w:spacing w:line="240" w:lineRule="auto"/>
        <w:ind w:left="426" w:hanging="284"/>
      </w:pPr>
      <w:r>
        <w:t>Хранение</w:t>
      </w:r>
      <w:r>
        <w:rPr>
          <w:spacing w:val="-6"/>
        </w:rPr>
        <w:t xml:space="preserve"> </w:t>
      </w:r>
      <w:r>
        <w:t>препарата</w:t>
      </w:r>
      <w:r>
        <w:rPr>
          <w:spacing w:val="-5"/>
        </w:rPr>
        <w:t xml:space="preserve"> </w:t>
      </w:r>
      <w:proofErr w:type="spellStart"/>
      <w:r w:rsidR="00921C32" w:rsidRPr="00921C32">
        <w:rPr>
          <w:spacing w:val="-5"/>
        </w:rPr>
        <w:t>Мелдовенс</w:t>
      </w:r>
      <w:proofErr w:type="spellEnd"/>
    </w:p>
    <w:p w14:paraId="61813F17" w14:textId="77777777" w:rsidR="00DE294A" w:rsidRDefault="00DE294A" w:rsidP="00DE294A">
      <w:pPr>
        <w:pStyle w:val="1"/>
        <w:tabs>
          <w:tab w:val="left" w:pos="401"/>
        </w:tabs>
        <w:ind w:left="142"/>
        <w:rPr>
          <w:b w:val="0"/>
          <w:bCs w:val="0"/>
        </w:rPr>
      </w:pPr>
      <w:r>
        <w:rPr>
          <w:b w:val="0"/>
          <w:bCs w:val="0"/>
        </w:rPr>
        <w:t>В защищенном от света месте при температуре не выше 25 ℃.</w:t>
      </w:r>
    </w:p>
    <w:p w14:paraId="365E4586" w14:textId="77777777" w:rsidR="00DE294A" w:rsidRDefault="00DE294A" w:rsidP="00DE294A">
      <w:pPr>
        <w:pStyle w:val="1"/>
        <w:tabs>
          <w:tab w:val="left" w:pos="401"/>
        </w:tabs>
        <w:ind w:left="142"/>
        <w:rPr>
          <w:b w:val="0"/>
          <w:bCs w:val="0"/>
        </w:rPr>
      </w:pPr>
      <w:r>
        <w:rPr>
          <w:b w:val="0"/>
          <w:bCs w:val="0"/>
        </w:rPr>
        <w:t>Хранить в недоступном для детей месте.</w:t>
      </w:r>
    </w:p>
    <w:p w14:paraId="599DFC4C" w14:textId="77777777" w:rsidR="00DE294A" w:rsidRDefault="00DE294A" w:rsidP="00DE294A">
      <w:pPr>
        <w:pStyle w:val="1"/>
        <w:ind w:left="142"/>
        <w:jc w:val="both"/>
      </w:pPr>
      <w:r>
        <w:t>Дата истечения срока годности (срока хранения)</w:t>
      </w:r>
    </w:p>
    <w:p w14:paraId="7E51A47C" w14:textId="77777777" w:rsidR="005E44A0" w:rsidRPr="005E44A0" w:rsidRDefault="005E44A0" w:rsidP="005E44A0">
      <w:pPr>
        <w:pStyle w:val="1"/>
        <w:ind w:left="142"/>
        <w:jc w:val="both"/>
        <w:rPr>
          <w:b w:val="0"/>
          <w:bCs w:val="0"/>
        </w:rPr>
      </w:pPr>
      <w:r w:rsidRPr="005E44A0">
        <w:rPr>
          <w:b w:val="0"/>
          <w:bCs w:val="0"/>
        </w:rPr>
        <w:t>3 года</w:t>
      </w:r>
    </w:p>
    <w:p w14:paraId="6A3C4069" w14:textId="74FDF807" w:rsidR="00DE294A" w:rsidRDefault="005E44A0" w:rsidP="005E44A0">
      <w:pPr>
        <w:pStyle w:val="1"/>
        <w:spacing w:line="240" w:lineRule="auto"/>
        <w:ind w:left="142"/>
        <w:jc w:val="both"/>
        <w:rPr>
          <w:b w:val="0"/>
          <w:bCs w:val="0"/>
        </w:rPr>
      </w:pPr>
      <w:r w:rsidRPr="005E44A0">
        <w:rPr>
          <w:b w:val="0"/>
          <w:bCs w:val="0"/>
        </w:rPr>
        <w:t>Не применять по истечении срока годности.</w:t>
      </w:r>
    </w:p>
    <w:p w14:paraId="247FF229" w14:textId="77777777" w:rsidR="00DE294A" w:rsidRDefault="00DE294A" w:rsidP="00DE294A">
      <w:pPr>
        <w:pStyle w:val="1"/>
        <w:spacing w:line="240" w:lineRule="auto"/>
        <w:ind w:left="142"/>
        <w:jc w:val="both"/>
        <w:rPr>
          <w:b w:val="0"/>
          <w:bCs w:val="0"/>
        </w:rPr>
      </w:pPr>
    </w:p>
    <w:p w14:paraId="5B79C597" w14:textId="77777777" w:rsidR="00DE294A" w:rsidRDefault="00DE294A" w:rsidP="00DE294A">
      <w:pPr>
        <w:pStyle w:val="1"/>
        <w:numPr>
          <w:ilvl w:val="0"/>
          <w:numId w:val="3"/>
        </w:numPr>
        <w:tabs>
          <w:tab w:val="left" w:pos="401"/>
        </w:tabs>
        <w:spacing w:line="240" w:lineRule="auto"/>
        <w:ind w:right="-1" w:hanging="578"/>
      </w:pPr>
      <w:r>
        <w:t>Содержимое</w:t>
      </w:r>
      <w:r>
        <w:rPr>
          <w:spacing w:val="-8"/>
        </w:rPr>
        <w:t xml:space="preserve"> </w:t>
      </w:r>
      <w:r>
        <w:t>упаковки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прочие</w:t>
      </w:r>
      <w:r>
        <w:rPr>
          <w:spacing w:val="-8"/>
        </w:rPr>
        <w:t xml:space="preserve"> </w:t>
      </w:r>
      <w:r>
        <w:t xml:space="preserve">сведения </w:t>
      </w:r>
    </w:p>
    <w:p w14:paraId="699E229F" w14:textId="2E229397" w:rsidR="00DE294A" w:rsidRDefault="00DE294A" w:rsidP="00DE294A">
      <w:pPr>
        <w:pStyle w:val="1"/>
        <w:tabs>
          <w:tab w:val="left" w:pos="401"/>
        </w:tabs>
        <w:spacing w:line="240" w:lineRule="auto"/>
        <w:ind w:right="-1"/>
      </w:pPr>
      <w:r>
        <w:t xml:space="preserve">Препарат </w:t>
      </w:r>
      <w:proofErr w:type="spellStart"/>
      <w:r w:rsidR="00921C32" w:rsidRPr="00921C32">
        <w:rPr>
          <w:spacing w:val="-5"/>
        </w:rPr>
        <w:t>Мелдовенс</w:t>
      </w:r>
      <w:proofErr w:type="spellEnd"/>
      <w:r>
        <w:t xml:space="preserve"> содержит</w:t>
      </w:r>
    </w:p>
    <w:p w14:paraId="72A315C2" w14:textId="24EC7459" w:rsidR="00DE294A" w:rsidRDefault="00DE294A" w:rsidP="001D2D1E">
      <w:pPr>
        <w:pStyle w:val="1"/>
        <w:tabs>
          <w:tab w:val="left" w:pos="401"/>
        </w:tabs>
        <w:spacing w:line="240" w:lineRule="auto"/>
        <w:ind w:right="-1"/>
        <w:jc w:val="both"/>
        <w:rPr>
          <w:b w:val="0"/>
          <w:bCs w:val="0"/>
        </w:rPr>
      </w:pPr>
      <w:r>
        <w:rPr>
          <w:b w:val="0"/>
          <w:bCs w:val="0"/>
          <w:spacing w:val="-2"/>
        </w:rPr>
        <w:t xml:space="preserve">Действующим веществом препарата является </w:t>
      </w:r>
      <w:proofErr w:type="spellStart"/>
      <w:r w:rsidR="001D2D1E" w:rsidRPr="001D2D1E">
        <w:rPr>
          <w:b w:val="0"/>
          <w:bCs w:val="0"/>
        </w:rPr>
        <w:t>мельдония</w:t>
      </w:r>
      <w:proofErr w:type="spellEnd"/>
      <w:r w:rsidR="001D2D1E" w:rsidRPr="001D2D1E">
        <w:rPr>
          <w:b w:val="0"/>
          <w:bCs w:val="0"/>
        </w:rPr>
        <w:t xml:space="preserve"> дигидрат (</w:t>
      </w:r>
      <w:proofErr w:type="spellStart"/>
      <w:r w:rsidR="001D2D1E" w:rsidRPr="001D2D1E">
        <w:rPr>
          <w:b w:val="0"/>
          <w:bCs w:val="0"/>
        </w:rPr>
        <w:t>триметилгидразиния</w:t>
      </w:r>
      <w:proofErr w:type="spellEnd"/>
      <w:r w:rsidR="001D2D1E" w:rsidRPr="001D2D1E">
        <w:rPr>
          <w:b w:val="0"/>
          <w:bCs w:val="0"/>
        </w:rPr>
        <w:t xml:space="preserve"> пропионата дигидрат)</w:t>
      </w:r>
      <w:r>
        <w:rPr>
          <w:b w:val="0"/>
          <w:bCs w:val="0"/>
        </w:rPr>
        <w:t>.</w:t>
      </w:r>
    </w:p>
    <w:p w14:paraId="7586B82C" w14:textId="07983E66" w:rsidR="00DE294A" w:rsidRDefault="00DE294A" w:rsidP="00DE294A">
      <w:pPr>
        <w:pStyle w:val="1"/>
        <w:tabs>
          <w:tab w:val="left" w:pos="401"/>
        </w:tabs>
        <w:ind w:left="142" w:right="-1"/>
        <w:rPr>
          <w:b w:val="0"/>
          <w:bCs w:val="0"/>
        </w:rPr>
      </w:pPr>
      <w:r>
        <w:rPr>
          <w:b w:val="0"/>
          <w:bCs w:val="0"/>
        </w:rPr>
        <w:t xml:space="preserve">1 мл препарата содержит </w:t>
      </w:r>
      <w:r w:rsidR="001D2D1E">
        <w:rPr>
          <w:b w:val="0"/>
          <w:bCs w:val="0"/>
        </w:rPr>
        <w:t>10</w:t>
      </w:r>
      <w:r>
        <w:rPr>
          <w:b w:val="0"/>
          <w:bCs w:val="0"/>
        </w:rPr>
        <w:t xml:space="preserve">0 мг </w:t>
      </w:r>
      <w:proofErr w:type="spellStart"/>
      <w:r w:rsidR="001D2D1E" w:rsidRPr="001D2D1E">
        <w:rPr>
          <w:b w:val="0"/>
          <w:bCs w:val="0"/>
        </w:rPr>
        <w:t>мельдония</w:t>
      </w:r>
      <w:proofErr w:type="spellEnd"/>
      <w:r w:rsidR="001D2D1E" w:rsidRPr="001D2D1E">
        <w:rPr>
          <w:b w:val="0"/>
          <w:bCs w:val="0"/>
        </w:rPr>
        <w:t xml:space="preserve"> дигидрат</w:t>
      </w:r>
      <w:r>
        <w:rPr>
          <w:b w:val="0"/>
          <w:bCs w:val="0"/>
        </w:rPr>
        <w:t>.</w:t>
      </w:r>
    </w:p>
    <w:p w14:paraId="4C546433" w14:textId="09674108" w:rsidR="00DE294A" w:rsidRDefault="00DE294A" w:rsidP="00DE294A">
      <w:pPr>
        <w:pStyle w:val="1"/>
        <w:tabs>
          <w:tab w:val="left" w:pos="401"/>
        </w:tabs>
        <w:spacing w:line="240" w:lineRule="auto"/>
        <w:ind w:left="142" w:right="-1"/>
        <w:rPr>
          <w:b w:val="0"/>
          <w:bCs w:val="0"/>
        </w:rPr>
      </w:pPr>
      <w:r>
        <w:rPr>
          <w:b w:val="0"/>
          <w:bCs w:val="0"/>
        </w:rPr>
        <w:t>Прочим вспомогательным веществ</w:t>
      </w:r>
      <w:r w:rsidR="001D2D1E">
        <w:rPr>
          <w:b w:val="0"/>
          <w:bCs w:val="0"/>
        </w:rPr>
        <w:t>ом</w:t>
      </w:r>
      <w:r>
        <w:rPr>
          <w:b w:val="0"/>
          <w:bCs w:val="0"/>
        </w:rPr>
        <w:t xml:space="preserve"> явля</w:t>
      </w:r>
      <w:r w:rsidR="001D2D1E">
        <w:rPr>
          <w:b w:val="0"/>
          <w:bCs w:val="0"/>
        </w:rPr>
        <w:t>е</w:t>
      </w:r>
      <w:r>
        <w:rPr>
          <w:b w:val="0"/>
          <w:bCs w:val="0"/>
        </w:rPr>
        <w:t>тся: вода для инъекций.</w:t>
      </w:r>
    </w:p>
    <w:p w14:paraId="5C94C7E0" w14:textId="3726444F" w:rsidR="00DE294A" w:rsidRDefault="00DE294A" w:rsidP="00DE294A">
      <w:pPr>
        <w:pStyle w:val="1"/>
        <w:spacing w:line="240" w:lineRule="auto"/>
      </w:pPr>
      <w:r>
        <w:t>Внешний</w:t>
      </w:r>
      <w:r>
        <w:rPr>
          <w:spacing w:val="-8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препарата</w:t>
      </w:r>
      <w:r>
        <w:rPr>
          <w:spacing w:val="-3"/>
        </w:rPr>
        <w:t xml:space="preserve"> </w:t>
      </w:r>
      <w:proofErr w:type="spellStart"/>
      <w:r w:rsidR="00921C32" w:rsidRPr="00921C32">
        <w:rPr>
          <w:spacing w:val="-5"/>
        </w:rPr>
        <w:t>Мелдовенс</w:t>
      </w:r>
      <w:proofErr w:type="spellEnd"/>
      <w:r>
        <w:rPr>
          <w:color w:val="000000"/>
          <w:lang w:eastAsia="ru-RU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содержимое</w:t>
      </w:r>
      <w:r>
        <w:rPr>
          <w:spacing w:val="-4"/>
        </w:rPr>
        <w:t xml:space="preserve"> </w:t>
      </w:r>
      <w:r>
        <w:rPr>
          <w:spacing w:val="-2"/>
        </w:rPr>
        <w:t>упаковки</w:t>
      </w:r>
    </w:p>
    <w:p w14:paraId="7616EABC" w14:textId="77777777" w:rsidR="00FA7AD9" w:rsidRPr="00FA7AD9" w:rsidRDefault="00FA7AD9" w:rsidP="00FA7AD9">
      <w:pPr>
        <w:widowControl/>
        <w:autoSpaceDE/>
        <w:ind w:left="142"/>
        <w:jc w:val="both"/>
        <w:rPr>
          <w:sz w:val="28"/>
          <w:szCs w:val="28"/>
        </w:rPr>
      </w:pPr>
      <w:r w:rsidRPr="00FA7AD9">
        <w:rPr>
          <w:sz w:val="28"/>
          <w:szCs w:val="28"/>
        </w:rPr>
        <w:t xml:space="preserve">По 5 мл препарата в ампулы нейтрального бесцветного или светозащитного стекла. </w:t>
      </w:r>
    </w:p>
    <w:p w14:paraId="683821C2" w14:textId="77777777" w:rsidR="00FA7AD9" w:rsidRPr="00FA7AD9" w:rsidRDefault="00FA7AD9" w:rsidP="00FA7AD9">
      <w:pPr>
        <w:widowControl/>
        <w:autoSpaceDE/>
        <w:ind w:left="142"/>
        <w:jc w:val="both"/>
        <w:rPr>
          <w:sz w:val="28"/>
          <w:szCs w:val="28"/>
        </w:rPr>
      </w:pPr>
      <w:r w:rsidRPr="00FA7AD9">
        <w:rPr>
          <w:sz w:val="28"/>
          <w:szCs w:val="28"/>
        </w:rPr>
        <w:t xml:space="preserve">На ампулу наклеивают самоклеящуюся этикетку. </w:t>
      </w:r>
    </w:p>
    <w:p w14:paraId="4C740C3B" w14:textId="77777777" w:rsidR="00FA7AD9" w:rsidRPr="00FA7AD9" w:rsidRDefault="00FA7AD9" w:rsidP="00FA7AD9">
      <w:pPr>
        <w:widowControl/>
        <w:autoSpaceDE/>
        <w:ind w:left="142"/>
        <w:jc w:val="both"/>
        <w:rPr>
          <w:sz w:val="28"/>
          <w:szCs w:val="28"/>
        </w:rPr>
      </w:pPr>
      <w:r w:rsidRPr="00FA7AD9">
        <w:rPr>
          <w:sz w:val="28"/>
          <w:szCs w:val="28"/>
        </w:rPr>
        <w:t xml:space="preserve">По 5 ампул помещают в контурную ячейковую упаковку из пленки поливинилхлоридной и пленки полимерной или без пленки полимерной. </w:t>
      </w:r>
    </w:p>
    <w:p w14:paraId="1B061DD6" w14:textId="77777777" w:rsidR="00FA7AD9" w:rsidRPr="00FA7AD9" w:rsidRDefault="00FA7AD9" w:rsidP="00FA7AD9">
      <w:pPr>
        <w:widowControl/>
        <w:autoSpaceDE/>
        <w:ind w:left="142"/>
        <w:jc w:val="both"/>
        <w:rPr>
          <w:sz w:val="28"/>
          <w:szCs w:val="28"/>
        </w:rPr>
      </w:pPr>
      <w:r w:rsidRPr="00FA7AD9">
        <w:rPr>
          <w:sz w:val="28"/>
          <w:szCs w:val="28"/>
        </w:rPr>
        <w:lastRenderedPageBreak/>
        <w:t>По 1 или 2 контурные ячейковые упаковки, скарификатор ампульный вместе с инструкцией на государственном и русском языках помещают в картонную пачку.</w:t>
      </w:r>
    </w:p>
    <w:p w14:paraId="0CA99827" w14:textId="54B34B85" w:rsidR="001D2D1E" w:rsidRDefault="00FA7AD9" w:rsidP="00FA7AD9">
      <w:pPr>
        <w:widowControl/>
        <w:autoSpaceDE/>
        <w:ind w:left="142"/>
        <w:jc w:val="both"/>
        <w:rPr>
          <w:sz w:val="28"/>
          <w:szCs w:val="28"/>
        </w:rPr>
      </w:pPr>
      <w:r w:rsidRPr="00FA7AD9">
        <w:rPr>
          <w:sz w:val="28"/>
          <w:szCs w:val="28"/>
        </w:rPr>
        <w:t>Скарификатор ампульный не вкладывают при использовании ампул с кольцом излома или с надрезом и точкой.</w:t>
      </w:r>
    </w:p>
    <w:p w14:paraId="3DB3DBD5" w14:textId="77777777" w:rsidR="001D2D1E" w:rsidRDefault="001D2D1E" w:rsidP="001D2D1E">
      <w:pPr>
        <w:widowControl/>
        <w:autoSpaceDE/>
        <w:ind w:left="142"/>
        <w:jc w:val="both"/>
        <w:rPr>
          <w:sz w:val="28"/>
          <w:szCs w:val="28"/>
        </w:rPr>
      </w:pPr>
    </w:p>
    <w:p w14:paraId="0F7DDFE3" w14:textId="613EB508" w:rsidR="00DE294A" w:rsidRDefault="00DE294A" w:rsidP="001D2D1E">
      <w:pPr>
        <w:widowControl/>
        <w:autoSpaceDE/>
        <w:ind w:left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Держатель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регистрационного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удостоверения</w:t>
      </w:r>
      <w:r>
        <w:rPr>
          <w:b/>
          <w:bCs/>
          <w:spacing w:val="-9"/>
          <w:sz w:val="28"/>
          <w:szCs w:val="28"/>
        </w:rPr>
        <w:t xml:space="preserve"> </w:t>
      </w:r>
    </w:p>
    <w:p w14:paraId="6B02B5D8" w14:textId="77777777" w:rsidR="00DE294A" w:rsidRDefault="00DE294A" w:rsidP="00DE294A">
      <w:pPr>
        <w:pStyle w:val="1"/>
        <w:ind w:left="142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>SPEY</w:t>
      </w:r>
      <w:r w:rsidRPr="00DE294A">
        <w:rPr>
          <w:b w:val="0"/>
          <w:bCs w:val="0"/>
        </w:rPr>
        <w:t xml:space="preserve"> </w:t>
      </w:r>
      <w:r>
        <w:rPr>
          <w:b w:val="0"/>
          <w:bCs w:val="0"/>
          <w:lang w:val="en-US"/>
        </w:rPr>
        <w:t>MEDICAL</w:t>
      </w:r>
      <w:r w:rsidRPr="00DE294A">
        <w:rPr>
          <w:b w:val="0"/>
          <w:bCs w:val="0"/>
        </w:rPr>
        <w:t xml:space="preserve"> </w:t>
      </w:r>
      <w:r>
        <w:rPr>
          <w:b w:val="0"/>
          <w:bCs w:val="0"/>
          <w:lang w:val="en-US"/>
        </w:rPr>
        <w:t>LTD</w:t>
      </w:r>
    </w:p>
    <w:p w14:paraId="62070A04" w14:textId="77777777" w:rsidR="00DE294A" w:rsidRDefault="00DE294A" w:rsidP="00DE294A">
      <w:pPr>
        <w:pStyle w:val="1"/>
        <w:ind w:left="142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Lynton House 7-12 </w:t>
      </w:r>
      <w:proofErr w:type="spellStart"/>
      <w:r>
        <w:rPr>
          <w:b w:val="0"/>
          <w:bCs w:val="0"/>
          <w:lang w:val="en-US"/>
        </w:rPr>
        <w:t>Tavistock</w:t>
      </w:r>
      <w:proofErr w:type="spellEnd"/>
      <w:r>
        <w:rPr>
          <w:b w:val="0"/>
          <w:bCs w:val="0"/>
          <w:lang w:val="en-US"/>
        </w:rPr>
        <w:t xml:space="preserve"> Square, </w:t>
      </w:r>
      <w:r>
        <w:rPr>
          <w:b w:val="0"/>
          <w:bCs w:val="0"/>
        </w:rPr>
        <w:t>Лондон</w:t>
      </w:r>
      <w:r>
        <w:rPr>
          <w:b w:val="0"/>
          <w:bCs w:val="0"/>
          <w:lang w:val="en-US"/>
        </w:rPr>
        <w:t xml:space="preserve">, WC1H 9LT, </w:t>
      </w:r>
      <w:r>
        <w:rPr>
          <w:b w:val="0"/>
          <w:bCs w:val="0"/>
        </w:rPr>
        <w:t>Великобритания</w:t>
      </w:r>
    </w:p>
    <w:p w14:paraId="431820AE" w14:textId="77777777" w:rsidR="00DE294A" w:rsidRDefault="00DE294A" w:rsidP="00DE294A">
      <w:pPr>
        <w:pStyle w:val="1"/>
        <w:ind w:left="142"/>
        <w:jc w:val="both"/>
        <w:rPr>
          <w:b w:val="0"/>
          <w:bCs w:val="0"/>
        </w:rPr>
      </w:pPr>
      <w:r>
        <w:rPr>
          <w:b w:val="0"/>
          <w:bCs w:val="0"/>
        </w:rPr>
        <w:t>Тел.: +44 203 598 2050</w:t>
      </w:r>
    </w:p>
    <w:p w14:paraId="0FAA9C44" w14:textId="77777777" w:rsidR="00DE294A" w:rsidRDefault="00DE294A" w:rsidP="00DE294A">
      <w:pPr>
        <w:pStyle w:val="1"/>
        <w:spacing w:line="240" w:lineRule="auto"/>
        <w:ind w:left="142"/>
        <w:jc w:val="both"/>
        <w:rPr>
          <w:b w:val="0"/>
          <w:bCs w:val="0"/>
        </w:rPr>
      </w:pPr>
      <w:r>
        <w:rPr>
          <w:b w:val="0"/>
          <w:bCs w:val="0"/>
        </w:rPr>
        <w:t xml:space="preserve">Эл. почта: </w:t>
      </w:r>
      <w:hyperlink r:id="rId6" w:history="1">
        <w:r>
          <w:rPr>
            <w:rStyle w:val="a3"/>
            <w:b w:val="0"/>
            <w:bCs w:val="0"/>
          </w:rPr>
          <w:t>info@spey.eu</w:t>
        </w:r>
      </w:hyperlink>
    </w:p>
    <w:p w14:paraId="1F398325" w14:textId="77777777" w:rsidR="00DE294A" w:rsidRDefault="00DE294A" w:rsidP="00DE294A">
      <w:pPr>
        <w:pStyle w:val="1"/>
        <w:spacing w:line="240" w:lineRule="auto"/>
        <w:ind w:left="142"/>
        <w:jc w:val="both"/>
        <w:rPr>
          <w:b w:val="0"/>
          <w:bCs w:val="0"/>
        </w:rPr>
      </w:pPr>
    </w:p>
    <w:p w14:paraId="7C68DCE2" w14:textId="77777777" w:rsidR="00DE294A" w:rsidRDefault="00DE294A" w:rsidP="00DE294A">
      <w:pPr>
        <w:spacing w:line="276" w:lineRule="auto"/>
        <w:ind w:left="121" w:right="106"/>
        <w:jc w:val="both"/>
        <w:rPr>
          <w:b/>
          <w:bCs/>
          <w:i/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П</w:t>
      </w:r>
      <w:r>
        <w:rPr>
          <w:b/>
          <w:bCs/>
          <w:spacing w:val="-2"/>
          <w:sz w:val="28"/>
          <w:szCs w:val="28"/>
        </w:rPr>
        <w:t>роизводитель</w:t>
      </w:r>
    </w:p>
    <w:p w14:paraId="5DEEBE04" w14:textId="77777777" w:rsidR="00DE294A" w:rsidRDefault="00DE294A" w:rsidP="00DE294A">
      <w:pPr>
        <w:pStyle w:val="1"/>
        <w:spacing w:line="240" w:lineRule="auto"/>
        <w:ind w:left="142"/>
        <w:jc w:val="both"/>
        <w:rPr>
          <w:b w:val="0"/>
          <w:bCs w:val="0"/>
        </w:rPr>
      </w:pPr>
      <w:r>
        <w:rPr>
          <w:b w:val="0"/>
          <w:bCs w:val="0"/>
        </w:rPr>
        <w:t>ООО «ВЕЛФАРМ»</w:t>
      </w:r>
    </w:p>
    <w:p w14:paraId="2AFC794B" w14:textId="77777777" w:rsidR="00DE294A" w:rsidRDefault="00DE294A" w:rsidP="00DE294A">
      <w:pPr>
        <w:pStyle w:val="1"/>
        <w:spacing w:line="240" w:lineRule="auto"/>
        <w:ind w:left="142"/>
        <w:jc w:val="both"/>
        <w:rPr>
          <w:b w:val="0"/>
          <w:bCs w:val="0"/>
        </w:rPr>
      </w:pPr>
      <w:r>
        <w:rPr>
          <w:b w:val="0"/>
          <w:bCs w:val="0"/>
        </w:rPr>
        <w:t>Курганская область, г. Курган, проспект Конституции, дом 11, 640008, Россия.</w:t>
      </w:r>
    </w:p>
    <w:p w14:paraId="32C603EB" w14:textId="77777777" w:rsidR="00DE294A" w:rsidRDefault="00DE294A" w:rsidP="00DE294A">
      <w:pPr>
        <w:pStyle w:val="1"/>
        <w:spacing w:line="240" w:lineRule="auto"/>
        <w:ind w:left="142"/>
        <w:jc w:val="both"/>
        <w:rPr>
          <w:b w:val="0"/>
          <w:bCs w:val="0"/>
        </w:rPr>
      </w:pPr>
      <w:r>
        <w:rPr>
          <w:b w:val="0"/>
          <w:bCs w:val="0"/>
        </w:rPr>
        <w:t>Тел.: +7 (3522) 48-60-00</w:t>
      </w:r>
    </w:p>
    <w:p w14:paraId="719127C2" w14:textId="77777777" w:rsidR="00DE294A" w:rsidRDefault="00DE294A" w:rsidP="00DE294A">
      <w:pPr>
        <w:pStyle w:val="1"/>
        <w:tabs>
          <w:tab w:val="left" w:pos="1344"/>
        </w:tabs>
        <w:spacing w:line="240" w:lineRule="auto"/>
        <w:ind w:left="142"/>
        <w:jc w:val="both"/>
        <w:rPr>
          <w:b w:val="0"/>
          <w:bCs w:val="0"/>
        </w:rPr>
      </w:pPr>
      <w:r>
        <w:rPr>
          <w:b w:val="0"/>
          <w:bCs w:val="0"/>
        </w:rPr>
        <w:t>Эл. почта: fsk@velpharm.ru</w:t>
      </w:r>
    </w:p>
    <w:p w14:paraId="68AF3210" w14:textId="77777777" w:rsidR="00DE294A" w:rsidRDefault="00DE294A" w:rsidP="00DE294A">
      <w:pPr>
        <w:pStyle w:val="1"/>
        <w:tabs>
          <w:tab w:val="left" w:pos="1344"/>
        </w:tabs>
        <w:spacing w:line="240" w:lineRule="auto"/>
        <w:ind w:left="142"/>
        <w:jc w:val="both"/>
        <w:rPr>
          <w:b w:val="0"/>
          <w:bCs w:val="0"/>
        </w:rPr>
      </w:pPr>
    </w:p>
    <w:p w14:paraId="242081EE" w14:textId="77777777" w:rsidR="00DE294A" w:rsidRDefault="00DE294A" w:rsidP="00DE294A">
      <w:pPr>
        <w:ind w:left="121" w:right="106"/>
        <w:jc w:val="both"/>
        <w:rPr>
          <w:i/>
          <w:sz w:val="28"/>
        </w:rPr>
      </w:pPr>
      <w:r>
        <w:rPr>
          <w:i/>
          <w:sz w:val="28"/>
        </w:rPr>
        <w:t xml:space="preserve">За любой информацией о препарате, а также в случаях возникновения претензий следует обращаться к представителю держателя регистрационного удостоверения: </w:t>
      </w:r>
    </w:p>
    <w:p w14:paraId="0E255371" w14:textId="77777777" w:rsidR="00DE294A" w:rsidRDefault="00DE294A" w:rsidP="00DE294A">
      <w:pPr>
        <w:widowControl/>
        <w:shd w:val="clear" w:color="auto" w:fill="FFFFFF"/>
        <w:autoSpaceDE/>
        <w:ind w:left="142"/>
        <w:jc w:val="both"/>
        <w:rPr>
          <w:rFonts w:eastAsia="Calibri"/>
          <w:color w:val="000000"/>
          <w:sz w:val="28"/>
          <w:szCs w:val="28"/>
          <w:lang w:val="en-US"/>
        </w:rPr>
      </w:pPr>
      <w:bookmarkStart w:id="2" w:name="_Hlk184997952"/>
      <w:r>
        <w:rPr>
          <w:rFonts w:eastAsia="Calibri"/>
          <w:color w:val="000000"/>
          <w:sz w:val="28"/>
          <w:szCs w:val="28"/>
        </w:rPr>
        <w:t>ТОО</w:t>
      </w:r>
      <w:r>
        <w:rPr>
          <w:rFonts w:eastAsia="Calibri"/>
          <w:color w:val="000000"/>
          <w:sz w:val="28"/>
          <w:szCs w:val="28"/>
          <w:lang w:val="en-US"/>
        </w:rPr>
        <w:t xml:space="preserve"> «CEPHEUS Medical» (</w:t>
      </w:r>
      <w:r>
        <w:rPr>
          <w:rFonts w:eastAsia="Calibri"/>
          <w:color w:val="000000"/>
          <w:sz w:val="28"/>
          <w:szCs w:val="28"/>
        </w:rPr>
        <w:t>ЦЕФЕЙ</w:t>
      </w:r>
      <w:r>
        <w:rPr>
          <w:rFonts w:eastAsia="Calibri"/>
          <w:color w:val="000000"/>
          <w:sz w:val="28"/>
          <w:szCs w:val="28"/>
          <w:lang w:val="en-US"/>
        </w:rPr>
        <w:t xml:space="preserve"> </w:t>
      </w:r>
      <w:r>
        <w:rPr>
          <w:rFonts w:eastAsia="Calibri"/>
          <w:color w:val="000000"/>
          <w:sz w:val="28"/>
          <w:szCs w:val="28"/>
        </w:rPr>
        <w:t>Медикал</w:t>
      </w:r>
      <w:r>
        <w:rPr>
          <w:rFonts w:eastAsia="Calibri"/>
          <w:color w:val="000000"/>
          <w:sz w:val="28"/>
          <w:szCs w:val="28"/>
          <w:lang w:val="en-US"/>
        </w:rPr>
        <w:t>)</w:t>
      </w:r>
    </w:p>
    <w:p w14:paraId="48FED092" w14:textId="77777777" w:rsidR="00DE294A" w:rsidRDefault="00DE294A" w:rsidP="00DE294A">
      <w:pPr>
        <w:widowControl/>
        <w:shd w:val="clear" w:color="auto" w:fill="FFFFFF"/>
        <w:autoSpaceDE/>
        <w:ind w:left="142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050045, Республика Казахстан, г. Алматы, </w:t>
      </w:r>
    </w:p>
    <w:p w14:paraId="7294458E" w14:textId="77777777" w:rsidR="00DE294A" w:rsidRDefault="00DE294A" w:rsidP="00DE294A">
      <w:pPr>
        <w:widowControl/>
        <w:shd w:val="clear" w:color="auto" w:fill="FFFFFF"/>
        <w:autoSpaceDE/>
        <w:ind w:left="142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Проспект Аль-Фараби, дом 7, ЖК «</w:t>
      </w:r>
      <w:proofErr w:type="spellStart"/>
      <w:r>
        <w:rPr>
          <w:rFonts w:eastAsia="Calibri"/>
          <w:color w:val="000000"/>
          <w:sz w:val="28"/>
          <w:szCs w:val="28"/>
        </w:rPr>
        <w:t>Нурлы</w:t>
      </w:r>
      <w:proofErr w:type="spellEnd"/>
      <w:r>
        <w:rPr>
          <w:rFonts w:eastAsia="Calibri"/>
          <w:color w:val="000000"/>
          <w:sz w:val="28"/>
          <w:szCs w:val="28"/>
        </w:rPr>
        <w:t xml:space="preserve"> Тау», блок 5А, офис 247, </w:t>
      </w:r>
    </w:p>
    <w:p w14:paraId="3D3D5498" w14:textId="77777777" w:rsidR="00DE294A" w:rsidRDefault="00DE294A" w:rsidP="00DE294A">
      <w:pPr>
        <w:widowControl/>
        <w:shd w:val="clear" w:color="auto" w:fill="FFFFFF"/>
        <w:autoSpaceDE/>
        <w:ind w:left="142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Номер телефона: +7 (727) </w:t>
      </w:r>
      <w:r>
        <w:rPr>
          <w:rFonts w:eastAsia="Calibri"/>
          <w:color w:val="000000"/>
          <w:sz w:val="28"/>
          <w:szCs w:val="28"/>
          <w:lang w:val="kk-KZ"/>
        </w:rPr>
        <w:t>978</w:t>
      </w:r>
      <w:r>
        <w:rPr>
          <w:rFonts w:eastAsia="Calibri"/>
          <w:color w:val="000000"/>
          <w:sz w:val="28"/>
          <w:szCs w:val="28"/>
        </w:rPr>
        <w:t xml:space="preserve"> 69 71, +7 777 175 00 99 (круглосуточно), </w:t>
      </w:r>
    </w:p>
    <w:p w14:paraId="74E3165E" w14:textId="77777777" w:rsidR="00DE294A" w:rsidRDefault="00DE294A" w:rsidP="00DE294A">
      <w:pPr>
        <w:widowControl/>
        <w:shd w:val="clear" w:color="auto" w:fill="FFFFFF"/>
        <w:autoSpaceDE/>
        <w:ind w:left="142"/>
        <w:jc w:val="both"/>
        <w:rPr>
          <w:rFonts w:eastAsia="Calibri"/>
          <w:color w:val="2C2D2E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Адрес электронной</w:t>
      </w:r>
      <w:r>
        <w:rPr>
          <w:rFonts w:eastAsia="Calibri"/>
          <w:color w:val="2C2D2E"/>
          <w:sz w:val="28"/>
          <w:szCs w:val="28"/>
        </w:rPr>
        <w:t xml:space="preserve"> почты: </w:t>
      </w:r>
      <w:hyperlink r:id="rId7" w:tgtFrame="_blank" w:history="1">
        <w:r>
          <w:rPr>
            <w:rStyle w:val="a3"/>
            <w:rFonts w:eastAsia="Calibri"/>
            <w:color w:val="0000FF"/>
          </w:rPr>
          <w:t>drugsafety@evolet.co.uk</w:t>
        </w:r>
      </w:hyperlink>
      <w:bookmarkEnd w:id="2"/>
    </w:p>
    <w:p w14:paraId="46DE1B78" w14:textId="77777777" w:rsidR="00DE294A" w:rsidRDefault="00DE294A" w:rsidP="00DE294A">
      <w:pPr>
        <w:pStyle w:val="1"/>
        <w:spacing w:line="240" w:lineRule="auto"/>
        <w:ind w:left="142"/>
        <w:jc w:val="both"/>
        <w:rPr>
          <w:b w:val="0"/>
          <w:bCs w:val="0"/>
        </w:rPr>
      </w:pPr>
    </w:p>
    <w:p w14:paraId="51D0A63B" w14:textId="77777777" w:rsidR="00DE294A" w:rsidRDefault="00DE294A" w:rsidP="00DE294A">
      <w:pPr>
        <w:pStyle w:val="1"/>
        <w:spacing w:before="321"/>
      </w:pPr>
      <w:r>
        <w:t>Листок-вкладыш</w:t>
      </w:r>
      <w:r>
        <w:rPr>
          <w:spacing w:val="-13"/>
        </w:rPr>
        <w:t xml:space="preserve"> </w:t>
      </w:r>
      <w:r>
        <w:rPr>
          <w:spacing w:val="-2"/>
        </w:rPr>
        <w:t>пересмотрен</w:t>
      </w:r>
    </w:p>
    <w:p w14:paraId="4C8604E4" w14:textId="77777777" w:rsidR="00DE294A" w:rsidRDefault="00DE294A" w:rsidP="00DE294A">
      <w:pPr>
        <w:spacing w:line="322" w:lineRule="exact"/>
        <w:ind w:left="121"/>
        <w:rPr>
          <w:i/>
          <w:sz w:val="28"/>
        </w:rPr>
      </w:pPr>
      <w:r>
        <w:rPr>
          <w:i/>
          <w:sz w:val="28"/>
        </w:rPr>
        <w:t>&lt;{ММ/ГГГГ}&gt;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&lt;{месяц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ГГГГ}&gt;.</w:t>
      </w:r>
    </w:p>
    <w:p w14:paraId="4C768867" w14:textId="77777777" w:rsidR="00DE294A" w:rsidRDefault="00DE294A" w:rsidP="00DE294A">
      <w:pPr>
        <w:pStyle w:val="a4"/>
        <w:spacing w:before="1"/>
        <w:ind w:left="0"/>
        <w:rPr>
          <w:i/>
        </w:rPr>
      </w:pPr>
    </w:p>
    <w:p w14:paraId="7A5BAEA2" w14:textId="77777777" w:rsidR="00DE294A" w:rsidRDefault="00DE294A" w:rsidP="00DE294A">
      <w:pPr>
        <w:pStyle w:val="1"/>
      </w:pPr>
      <w:r>
        <w:t>Прочие</w:t>
      </w:r>
      <w:r>
        <w:rPr>
          <w:spacing w:val="-7"/>
        </w:rPr>
        <w:t xml:space="preserve"> </w:t>
      </w:r>
      <w:r>
        <w:t>источники</w:t>
      </w:r>
      <w:r>
        <w:rPr>
          <w:spacing w:val="-7"/>
        </w:rPr>
        <w:t xml:space="preserve"> </w:t>
      </w:r>
      <w:r>
        <w:rPr>
          <w:spacing w:val="-2"/>
        </w:rPr>
        <w:t>информации</w:t>
      </w:r>
    </w:p>
    <w:p w14:paraId="2FEEB7BD" w14:textId="77777777" w:rsidR="00FC7BBF" w:rsidRDefault="00FC7BBF"/>
    <w:sectPr w:rsidR="00FC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F1E6B"/>
    <w:multiLevelType w:val="hybridMultilevel"/>
    <w:tmpl w:val="445047F4"/>
    <w:lvl w:ilvl="0" w:tplc="AD66B8CA">
      <w:start w:val="1"/>
      <w:numFmt w:val="decimal"/>
      <w:lvlText w:val="%1."/>
      <w:lvlJc w:val="left"/>
      <w:pPr>
        <w:ind w:left="213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ACE68122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8208E1F6">
      <w:numFmt w:val="bullet"/>
      <w:lvlText w:val="•"/>
      <w:lvlJc w:val="left"/>
      <w:pPr>
        <w:ind w:left="1780" w:hanging="360"/>
      </w:pPr>
      <w:rPr>
        <w:lang w:val="ru-RU" w:eastAsia="en-US" w:bidi="ar-SA"/>
      </w:rPr>
    </w:lvl>
    <w:lvl w:ilvl="3" w:tplc="1A9E8F00">
      <w:numFmt w:val="bullet"/>
      <w:lvlText w:val="•"/>
      <w:lvlJc w:val="left"/>
      <w:pPr>
        <w:ind w:left="2721" w:hanging="360"/>
      </w:pPr>
      <w:rPr>
        <w:lang w:val="ru-RU" w:eastAsia="en-US" w:bidi="ar-SA"/>
      </w:rPr>
    </w:lvl>
    <w:lvl w:ilvl="4" w:tplc="6DFE3E50">
      <w:numFmt w:val="bullet"/>
      <w:lvlText w:val="•"/>
      <w:lvlJc w:val="left"/>
      <w:pPr>
        <w:ind w:left="3662" w:hanging="360"/>
      </w:pPr>
      <w:rPr>
        <w:lang w:val="ru-RU" w:eastAsia="en-US" w:bidi="ar-SA"/>
      </w:rPr>
    </w:lvl>
    <w:lvl w:ilvl="5" w:tplc="F4A618BC">
      <w:numFmt w:val="bullet"/>
      <w:lvlText w:val="•"/>
      <w:lvlJc w:val="left"/>
      <w:pPr>
        <w:ind w:left="4602" w:hanging="360"/>
      </w:pPr>
      <w:rPr>
        <w:lang w:val="ru-RU" w:eastAsia="en-US" w:bidi="ar-SA"/>
      </w:rPr>
    </w:lvl>
    <w:lvl w:ilvl="6" w:tplc="4B4E664C">
      <w:numFmt w:val="bullet"/>
      <w:lvlText w:val="•"/>
      <w:lvlJc w:val="left"/>
      <w:pPr>
        <w:ind w:left="5543" w:hanging="360"/>
      </w:pPr>
      <w:rPr>
        <w:lang w:val="ru-RU" w:eastAsia="en-US" w:bidi="ar-SA"/>
      </w:rPr>
    </w:lvl>
    <w:lvl w:ilvl="7" w:tplc="EE840842">
      <w:numFmt w:val="bullet"/>
      <w:lvlText w:val="•"/>
      <w:lvlJc w:val="left"/>
      <w:pPr>
        <w:ind w:left="6484" w:hanging="360"/>
      </w:pPr>
      <w:rPr>
        <w:lang w:val="ru-RU" w:eastAsia="en-US" w:bidi="ar-SA"/>
      </w:rPr>
    </w:lvl>
    <w:lvl w:ilvl="8" w:tplc="4202C34A">
      <w:numFmt w:val="bullet"/>
      <w:lvlText w:val="•"/>
      <w:lvlJc w:val="left"/>
      <w:pPr>
        <w:ind w:left="7424" w:hanging="360"/>
      </w:pPr>
      <w:rPr>
        <w:lang w:val="ru-RU" w:eastAsia="en-US" w:bidi="ar-SA"/>
      </w:rPr>
    </w:lvl>
  </w:abstractNum>
  <w:abstractNum w:abstractNumId="1" w15:restartNumberingAfterBreak="0">
    <w:nsid w:val="40542751"/>
    <w:multiLevelType w:val="hybridMultilevel"/>
    <w:tmpl w:val="2E1AE418"/>
    <w:lvl w:ilvl="0" w:tplc="16867882">
      <w:start w:val="1"/>
      <w:numFmt w:val="decimal"/>
      <w:lvlText w:val="%1."/>
      <w:lvlJc w:val="left"/>
      <w:pPr>
        <w:ind w:left="12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9C8832">
      <w:numFmt w:val="bullet"/>
      <w:lvlText w:val="•"/>
      <w:lvlJc w:val="left"/>
      <w:pPr>
        <w:ind w:left="1038" w:hanging="284"/>
      </w:pPr>
      <w:rPr>
        <w:lang w:val="ru-RU" w:eastAsia="en-US" w:bidi="ar-SA"/>
      </w:rPr>
    </w:lvl>
    <w:lvl w:ilvl="2" w:tplc="56DEDBA6">
      <w:numFmt w:val="bullet"/>
      <w:lvlText w:val="•"/>
      <w:lvlJc w:val="left"/>
      <w:pPr>
        <w:ind w:left="1957" w:hanging="284"/>
      </w:pPr>
      <w:rPr>
        <w:lang w:val="ru-RU" w:eastAsia="en-US" w:bidi="ar-SA"/>
      </w:rPr>
    </w:lvl>
    <w:lvl w:ilvl="3" w:tplc="0636AEA8">
      <w:numFmt w:val="bullet"/>
      <w:lvlText w:val="•"/>
      <w:lvlJc w:val="left"/>
      <w:pPr>
        <w:ind w:left="2875" w:hanging="284"/>
      </w:pPr>
      <w:rPr>
        <w:lang w:val="ru-RU" w:eastAsia="en-US" w:bidi="ar-SA"/>
      </w:rPr>
    </w:lvl>
    <w:lvl w:ilvl="4" w:tplc="0ED09C30">
      <w:numFmt w:val="bullet"/>
      <w:lvlText w:val="•"/>
      <w:lvlJc w:val="left"/>
      <w:pPr>
        <w:ind w:left="3794" w:hanging="284"/>
      </w:pPr>
      <w:rPr>
        <w:lang w:val="ru-RU" w:eastAsia="en-US" w:bidi="ar-SA"/>
      </w:rPr>
    </w:lvl>
    <w:lvl w:ilvl="5" w:tplc="53E015CA">
      <w:numFmt w:val="bullet"/>
      <w:lvlText w:val="•"/>
      <w:lvlJc w:val="left"/>
      <w:pPr>
        <w:ind w:left="4713" w:hanging="284"/>
      </w:pPr>
      <w:rPr>
        <w:lang w:val="ru-RU" w:eastAsia="en-US" w:bidi="ar-SA"/>
      </w:rPr>
    </w:lvl>
    <w:lvl w:ilvl="6" w:tplc="4EE4D544">
      <w:numFmt w:val="bullet"/>
      <w:lvlText w:val="•"/>
      <w:lvlJc w:val="left"/>
      <w:pPr>
        <w:ind w:left="5631" w:hanging="284"/>
      </w:pPr>
      <w:rPr>
        <w:lang w:val="ru-RU" w:eastAsia="en-US" w:bidi="ar-SA"/>
      </w:rPr>
    </w:lvl>
    <w:lvl w:ilvl="7" w:tplc="19041434">
      <w:numFmt w:val="bullet"/>
      <w:lvlText w:val="•"/>
      <w:lvlJc w:val="left"/>
      <w:pPr>
        <w:ind w:left="6550" w:hanging="284"/>
      </w:pPr>
      <w:rPr>
        <w:lang w:val="ru-RU" w:eastAsia="en-US" w:bidi="ar-SA"/>
      </w:rPr>
    </w:lvl>
    <w:lvl w:ilvl="8" w:tplc="83DE5CC6">
      <w:numFmt w:val="bullet"/>
      <w:lvlText w:val="•"/>
      <w:lvlJc w:val="left"/>
      <w:pPr>
        <w:ind w:left="7469" w:hanging="284"/>
      </w:pPr>
      <w:rPr>
        <w:lang w:val="ru-RU" w:eastAsia="en-US" w:bidi="ar-SA"/>
      </w:rPr>
    </w:lvl>
  </w:abstractNum>
  <w:abstractNum w:abstractNumId="2" w15:restartNumberingAfterBreak="0">
    <w:nsid w:val="70095CD0"/>
    <w:multiLevelType w:val="hybridMultilevel"/>
    <w:tmpl w:val="50AA0670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6843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792649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3468028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EB"/>
    <w:rsid w:val="000A7EEB"/>
    <w:rsid w:val="001D2D1E"/>
    <w:rsid w:val="005E44A0"/>
    <w:rsid w:val="00921C32"/>
    <w:rsid w:val="009558D2"/>
    <w:rsid w:val="00DC3334"/>
    <w:rsid w:val="00DE294A"/>
    <w:rsid w:val="00FA7AD9"/>
    <w:rsid w:val="00FC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B784"/>
  <w15:chartTrackingRefBased/>
  <w15:docId w15:val="{BECFAA15-DD83-46CB-A553-247CF435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E29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E294A"/>
    <w:pPr>
      <w:spacing w:line="322" w:lineRule="exact"/>
      <w:ind w:left="1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E294A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E294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DE294A"/>
    <w:pPr>
      <w:ind w:left="102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DE29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DE294A"/>
    <w:pPr>
      <w:ind w:left="401" w:hanging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drugsafety@evole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pey.eu" TargetMode="External"/><Relationship Id="rId5" Type="http://schemas.openxmlformats.org/officeDocument/2006/relationships/hyperlink" Target="http://pharm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Inkar</dc:creator>
  <cp:keywords/>
  <dc:description/>
  <cp:lastModifiedBy>Inkar</cp:lastModifiedBy>
  <cp:revision>7</cp:revision>
  <dcterms:created xsi:type="dcterms:W3CDTF">2024-12-13T13:09:00Z</dcterms:created>
  <dcterms:modified xsi:type="dcterms:W3CDTF">2024-12-13T13:46:00Z</dcterms:modified>
</cp:coreProperties>
</file>